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600CD" w:rsidRPr="00B95E78" w:rsidRDefault="002D2C8A" w:rsidP="00B95E78">
      <w:pPr>
        <w:jc w:val="left"/>
        <w:rPr>
          <w:sz w:val="24"/>
          <w:szCs w:val="24"/>
        </w:rPr>
      </w:pPr>
      <w:r w:rsidRPr="00B95E78">
        <w:rPr>
          <w:sz w:val="24"/>
          <w:szCs w:val="24"/>
        </w:rPr>
        <w:t>Radiomic-based machine learning approach for predicting non-small cell lung cancer overall survival</w:t>
      </w:r>
    </w:p>
    <w:p w:rsidR="00B95E78" w:rsidRDefault="00B95E78" w:rsidP="00B95E78">
      <w:pPr>
        <w:jc w:val="left"/>
        <w:rPr>
          <w:b/>
          <w:bCs/>
        </w:rPr>
      </w:pPr>
    </w:p>
    <w:p w:rsidR="00720D87" w:rsidRDefault="00720D87">
      <w:pPr>
        <w:rPr>
          <w:b/>
          <w:bCs/>
        </w:rPr>
      </w:pPr>
      <w:r w:rsidRPr="00720D87">
        <w:rPr>
          <w:rFonts w:hint="eastAsia"/>
          <w:b/>
          <w:bCs/>
        </w:rPr>
        <w:t>A</w:t>
      </w:r>
      <w:r w:rsidRPr="00720D87">
        <w:rPr>
          <w:b/>
          <w:bCs/>
        </w:rPr>
        <w:t>bstract</w:t>
      </w:r>
    </w:p>
    <w:p w:rsidR="003F6AE2" w:rsidRPr="003F6AE2" w:rsidRDefault="003F6AE2" w:rsidP="003F6AE2">
      <w:r w:rsidRPr="003F6AE2">
        <w:rPr>
          <w:b/>
          <w:bCs/>
        </w:rPr>
        <w:t>Objective:</w:t>
      </w:r>
      <w:r>
        <w:rPr>
          <w:b/>
          <w:bCs/>
        </w:rPr>
        <w:t xml:space="preserve"> </w:t>
      </w:r>
      <w:r w:rsidRPr="003F6AE2">
        <w:t>T</w:t>
      </w:r>
      <w:r w:rsidRPr="003F6AE2">
        <w:t>o</w:t>
      </w:r>
      <w:r w:rsidRPr="003F6AE2">
        <w:t xml:space="preserve"> evaluate the potential of radiomic features from CT scans </w:t>
      </w:r>
      <w:r w:rsidRPr="003F6AE2">
        <w:t xml:space="preserve">combining </w:t>
      </w:r>
      <w:r w:rsidRPr="003F6AE2">
        <w:t>with clinical data for improv</w:t>
      </w:r>
      <w:r w:rsidRPr="003F6AE2">
        <w:t>ing</w:t>
      </w:r>
      <w:r w:rsidRPr="003F6AE2">
        <w:t xml:space="preserve"> survival prediction in </w:t>
      </w:r>
      <w:r w:rsidR="008D2BE8">
        <w:rPr>
          <w:color w:val="141413"/>
          <w:kern w:val="0"/>
          <w:sz w:val="20"/>
          <w:szCs w:val="20"/>
        </w:rPr>
        <w:t>non-small cell lung cancer</w:t>
      </w:r>
      <w:r w:rsidR="008D2BE8">
        <w:rPr>
          <w:color w:val="141413"/>
          <w:kern w:val="0"/>
          <w:sz w:val="20"/>
          <w:szCs w:val="20"/>
        </w:rPr>
        <w:t xml:space="preserve"> (</w:t>
      </w:r>
      <w:r w:rsidRPr="003F6AE2">
        <w:t>NSCLC</w:t>
      </w:r>
      <w:r w:rsidR="008D2BE8">
        <w:t>)</w:t>
      </w:r>
      <w:r w:rsidRPr="003F6AE2">
        <w:t xml:space="preserve"> patients.</w:t>
      </w:r>
    </w:p>
    <w:p w:rsidR="003F6AE2" w:rsidRPr="003F6AE2" w:rsidRDefault="003F6AE2" w:rsidP="003F6AE2">
      <w:r w:rsidRPr="003F6AE2">
        <w:rPr>
          <w:b/>
          <w:bCs/>
        </w:rPr>
        <w:t>Materials and Methods:</w:t>
      </w:r>
      <w:r w:rsidRPr="003F6AE2">
        <w:t xml:space="preserve"> </w:t>
      </w:r>
      <w:r w:rsidRPr="003F6AE2">
        <w:t>A total of 422 patients from the NSCLC-Radiomics dataset were analyzed. Radiomic features (1,223 per patient) were extracted and combined with clinical data. Cox proportional hazards regression (COX), Gradient Boosting Machines (GBM), and Random Survival Forests (RSF) were used to evaluate performance. Concordance index (C-index) assessed model accuracy, Kaplan-Meier analysis validated risk stratification, and SHAP explained feature contributions.</w:t>
      </w:r>
    </w:p>
    <w:p w:rsidR="003F6AE2" w:rsidRPr="003F6AE2" w:rsidRDefault="003F6AE2" w:rsidP="003F6AE2">
      <w:r w:rsidRPr="003F6AE2">
        <w:rPr>
          <w:b/>
          <w:bCs/>
        </w:rPr>
        <w:t>Results:</w:t>
      </w:r>
      <w:r>
        <w:rPr>
          <w:b/>
          <w:bCs/>
        </w:rPr>
        <w:t xml:space="preserve"> </w:t>
      </w:r>
      <w:r w:rsidRPr="003F6AE2">
        <w:t xml:space="preserve">The COX model achieved the best performance (C-index: 0.638 ± 0.053) using </w:t>
      </w:r>
      <w:r>
        <w:t>radiomic</w:t>
      </w:r>
      <w:r w:rsidRPr="003F6AE2">
        <w:t xml:space="preserve"> features. Radiomic features consistently outperformed clinical features. Kaplan-Meier analysis indicated significant differences (p &lt; 0.05) between risk groups. SHAP analysis identified key contributors to survival prediction, including tumor stage and radiomic texture features.</w:t>
      </w:r>
    </w:p>
    <w:p w:rsidR="00720D87" w:rsidRPr="003F6AE2" w:rsidRDefault="003F6AE2">
      <w:pPr>
        <w:rPr>
          <w:b/>
          <w:bCs/>
        </w:rPr>
      </w:pPr>
      <w:r w:rsidRPr="003F6AE2">
        <w:rPr>
          <w:b/>
          <w:bCs/>
        </w:rPr>
        <w:t>Conclusion:</w:t>
      </w:r>
      <w:r w:rsidRPr="003F6AE2">
        <w:t xml:space="preserve"> </w:t>
      </w:r>
      <w:r w:rsidRPr="003F6AE2">
        <w:t>Radiomic features combined with machine learning enhance survival prediction in NSCLC. Radiomics provides critical insights into tumor heterogeneity, and integration with clinical data improves model accuracy.</w:t>
      </w:r>
    </w:p>
    <w:p w:rsidR="00720D87" w:rsidRDefault="00720D87">
      <w:pPr>
        <w:rPr>
          <w:rFonts w:hint="eastAsia"/>
          <w:b/>
          <w:bCs/>
        </w:rPr>
      </w:pPr>
    </w:p>
    <w:p w:rsidR="00A600CD" w:rsidRDefault="00BA5BF9">
      <w:pPr>
        <w:rPr>
          <w:b/>
          <w:bCs/>
        </w:rPr>
      </w:pPr>
      <w:r>
        <w:rPr>
          <w:rFonts w:hint="eastAsia"/>
          <w:b/>
          <w:bCs/>
        </w:rPr>
        <w:t>I</w:t>
      </w:r>
      <w:r>
        <w:rPr>
          <w:b/>
          <w:bCs/>
        </w:rPr>
        <w:t>ntroduction</w:t>
      </w:r>
    </w:p>
    <w:p w:rsidR="003D3B22" w:rsidRDefault="003D3B22"/>
    <w:p w:rsidR="00BD7D91" w:rsidRDefault="00BD7D91" w:rsidP="00BD7D91">
      <w:pPr>
        <w:ind w:firstLineChars="200" w:firstLine="420"/>
      </w:pPr>
      <w:r>
        <w:t>NSCLC</w:t>
      </w:r>
      <w:r w:rsidR="00CC383D">
        <w:t xml:space="preserve"> </w:t>
      </w:r>
      <w:r>
        <w:t>remains one of the leading causes of cancer-related mortality worldwide. Despite advances in treatment modalities, predicting overall survival for NSCLC patients remains a significant clinical challenge. Accurate prognosis prediction is essential for optimizing personalized treatment plans and improving patient outcomes. Traditional methods, which rely primarily on clinical parameters such as TNM staging, are limited in their ability to capture the full complexity of tumor characteristics and their relationship with survival.</w:t>
      </w:r>
    </w:p>
    <w:p w:rsidR="00BD7D91" w:rsidRDefault="00BD7D91" w:rsidP="00BD7D91">
      <w:pPr>
        <w:ind w:firstLineChars="200" w:firstLine="420"/>
      </w:pPr>
      <w:r>
        <w:t>Recent advancements in radiomics have introduced novel opportunities for enhancing survival prediction in oncology. Radiomics involves the extraction of high-dimensional quantitative features from medical imaging, such as CT scans, to characterize tumor heterogeneity, shape, and texture. These features, when combined with advanced machine learning techniques, have shown promise in augmenting prognostic accuracy by capturing subtle imaging patterns that are often imperceptible to the human eye. Studies such as Aerts et al. (2014) have demonstrated that radiomic features derived from CT imaging provide significant prognostic value in lung and head-and-neck cancers, underscoring their potential to complement traditional clinical assessments. Similarly, Parmar et al. (2015) highlighted the role of machine learning in developing radiomic-based predictive models across multiple cancer types, further validating their utility.</w:t>
      </w:r>
    </w:p>
    <w:p w:rsidR="00A600CD" w:rsidRPr="00720D87" w:rsidRDefault="00BD7D91" w:rsidP="00720D87">
      <w:pPr>
        <w:ind w:firstLineChars="200" w:firstLine="420"/>
        <w:rPr>
          <w:rFonts w:hint="eastAsia"/>
        </w:rPr>
      </w:pPr>
      <w:r>
        <w:t xml:space="preserve">Despite these advancements, the integration of radiomics with clinical data remains underexplored. While studies have examined the independent predictive value of radiomic features, fewer have investigated the synergistic effects of combining radiomic and clinical information. For instance, Coroller et al. (2015) demonstrated that combining radiomic features with clinical staging improved distant metastasis prediction in lung adenocarcinoma. Such findings suggest that integrated models could capture complementary aspects of tumor biology and improve overall </w:t>
      </w:r>
      <w:r>
        <w:lastRenderedPageBreak/>
        <w:t>survival prediction.</w:t>
      </w:r>
      <w:r>
        <w:t xml:space="preserve"> </w:t>
      </w:r>
      <w:r>
        <w:t>In this study, we aimed to evaluate the predictive potential of radiomics and clinical features for overall survival in NSCLC patients. Leveraging the publicly available NSCLC-Radiomics dataset, we developed machine learning models, including Cox proportional hazards regression (COX), Gradient Boosting Machines (GBM), and Random Survival Forests (RSF). These models were trained and validated on three feature sets: clinical features, radiomics features, and a combination of both.</w:t>
      </w:r>
    </w:p>
    <w:p w:rsidR="00A600CD" w:rsidRDefault="00A600CD">
      <w:pPr>
        <w:rPr>
          <w:b/>
          <w:bCs/>
        </w:rPr>
      </w:pPr>
    </w:p>
    <w:p w:rsidR="00C97A29" w:rsidRDefault="00C97A29">
      <w:pPr>
        <w:rPr>
          <w:b/>
          <w:bCs/>
        </w:rPr>
      </w:pPr>
      <w:r w:rsidRPr="00E871EA">
        <w:rPr>
          <w:rFonts w:hint="eastAsia"/>
          <w:b/>
          <w:bCs/>
        </w:rPr>
        <w:t>M</w:t>
      </w:r>
      <w:r w:rsidRPr="00E871EA">
        <w:rPr>
          <w:b/>
          <w:bCs/>
        </w:rPr>
        <w:t xml:space="preserve">aterial and </w:t>
      </w:r>
      <w:r w:rsidR="00720D87">
        <w:rPr>
          <w:b/>
          <w:bCs/>
        </w:rPr>
        <w:t>M</w:t>
      </w:r>
      <w:r w:rsidRPr="00E871EA">
        <w:rPr>
          <w:b/>
          <w:bCs/>
        </w:rPr>
        <w:t>ethod</w:t>
      </w:r>
    </w:p>
    <w:p w:rsidR="00B41047" w:rsidRPr="00E871EA" w:rsidRDefault="00B41047">
      <w:pPr>
        <w:rPr>
          <w:b/>
          <w:bCs/>
        </w:rPr>
      </w:pPr>
    </w:p>
    <w:p w:rsidR="00C97A29" w:rsidRDefault="00C97A29" w:rsidP="00E871EA">
      <w:pPr>
        <w:ind w:firstLineChars="200" w:firstLine="420"/>
      </w:pPr>
      <w:r>
        <w:t>This retrospective study leverages the publicly available NSCLC-Radiomics dataset hosted on The Cancer Imaging Archive (TCIA)​. The dataset contains comprehensive computed tomography (CT) imaging and associated clinical data for NSCLC patients, facilitating the extraction of radiomic features for analysis. To predict overall survival, three machine learning approaches—</w:t>
      </w:r>
      <w:r w:rsidR="00AC2565">
        <w:t>COX</w:t>
      </w:r>
      <w:r>
        <w:t xml:space="preserve">, GBM, and RSF—were utilized. Model performance was rigorously validated through cross-validation using C-index and </w:t>
      </w:r>
      <w:r w:rsidR="0023400C">
        <w:t>Kaplan-Meier</w:t>
      </w:r>
      <w:r>
        <w:t xml:space="preserve"> survival analysis. Feature importance and model interpretability were further assessed using SHapley Additive exPlanations (SHAP), ensuring insights into the contribution of radiomic features to the survival predictions.</w:t>
      </w:r>
    </w:p>
    <w:p w:rsidR="00E871EA" w:rsidRDefault="00E871EA" w:rsidP="00E871EA"/>
    <w:p w:rsidR="00E871EA" w:rsidRDefault="00C97A29" w:rsidP="00E871EA">
      <w:r>
        <w:rPr>
          <w:rFonts w:hint="eastAsia"/>
        </w:rPr>
        <w:t>D</w:t>
      </w:r>
      <w:r>
        <w:t>ataset</w:t>
      </w:r>
    </w:p>
    <w:p w:rsidR="00375541" w:rsidRDefault="003E1E99" w:rsidP="003E1E99">
      <w:pPr>
        <w:ind w:firstLineChars="200" w:firstLine="420"/>
      </w:pPr>
      <w:r>
        <w:rPr>
          <w:rFonts w:hint="eastAsia"/>
        </w:rPr>
        <w:t>This study utilized the NSCLC-Radiomics dataset, publicly available on TCIA. The dataset comprises CT</w:t>
      </w:r>
      <w:r w:rsidR="00AC2565">
        <w:t xml:space="preserve"> </w:t>
      </w:r>
      <w:r>
        <w:rPr>
          <w:rFonts w:hint="eastAsia"/>
        </w:rPr>
        <w:t xml:space="preserve">imaging and corresponding clinical data from 422 patients diagnosed with </w:t>
      </w:r>
      <w:r>
        <w:t xml:space="preserve">NSCLC. Pretreatment CT scans and Gross Tumor Volume (GTV) segmentations were provided, enabling robust radiomics feature extraction. </w:t>
      </w:r>
      <w:r w:rsidR="00375541" w:rsidRPr="00375541">
        <w:t>Clinical data provide critical information, including patient demographics, tumor staging based on the TNM classification, and survival outcomes.</w:t>
      </w:r>
    </w:p>
    <w:p w:rsidR="003E1E99" w:rsidRDefault="003E1E99" w:rsidP="003E1E99">
      <w:pPr>
        <w:ind w:firstLineChars="200" w:firstLine="420"/>
      </w:pPr>
      <w:r>
        <w:rPr>
          <w:rFonts w:hint="eastAsia"/>
        </w:rPr>
        <w:t>The dataset adheres to the guidelines of the Image Biomarker Standardization Initiative (IBSI), ensuring reproducibility and standardization in radiomics analysis. Due to the multicenter origin of the data, imaging protocols for CT scans vary; h</w:t>
      </w:r>
      <w:r>
        <w:t>owever, all scans were acquired at a resolution sufficient for radiomic analysis. This multicenter variability was addressed by applying preprocessing and standardization techniques.</w:t>
      </w:r>
    </w:p>
    <w:p w:rsidR="00E871EA" w:rsidRDefault="003E1E99" w:rsidP="003E1E99">
      <w:pPr>
        <w:ind w:firstLineChars="200" w:firstLine="420"/>
      </w:pPr>
      <w:r>
        <w:rPr>
          <w:rFonts w:hint="eastAsia"/>
        </w:rPr>
        <w:t>The dataset and its preparation are described comprehensively in the publication by Aerts et al. (2014). More detailed proportions and characteristics of the dataset are summarized in Table 1, highlighting the distribution of patient demographic</w:t>
      </w:r>
      <w:r>
        <w:t xml:space="preserve">s, </w:t>
      </w:r>
      <w:r w:rsidR="00375541">
        <w:t xml:space="preserve">and </w:t>
      </w:r>
      <w:r>
        <w:t>tumor stages, providing a clearer understanding of the cohort used for this study.</w:t>
      </w:r>
    </w:p>
    <w:p w:rsidR="008A76E1" w:rsidRPr="008A76E1" w:rsidRDefault="008A76E1" w:rsidP="008A76E1">
      <w:pPr>
        <w:rPr>
          <w:b/>
          <w:bCs/>
          <w:sz w:val="18"/>
          <w:szCs w:val="18"/>
        </w:rPr>
      </w:pPr>
      <w:r w:rsidRPr="008A76E1">
        <w:rPr>
          <w:b/>
          <w:bCs/>
          <w:sz w:val="18"/>
          <w:szCs w:val="18"/>
        </w:rPr>
        <w:t>Table 1</w:t>
      </w:r>
      <w:r>
        <w:rPr>
          <w:b/>
          <w:bCs/>
          <w:sz w:val="18"/>
          <w:szCs w:val="18"/>
        </w:rPr>
        <w:t xml:space="preserve">. </w:t>
      </w:r>
      <w:r w:rsidRPr="008A76E1">
        <w:rPr>
          <w:b/>
          <w:bCs/>
          <w:sz w:val="18"/>
          <w:szCs w:val="18"/>
        </w:rPr>
        <w:t>Characteristics of patients in this study.</w:t>
      </w:r>
    </w:p>
    <w:tbl>
      <w:tblPr>
        <w:tblW w:w="8319" w:type="dxa"/>
        <w:tblLook w:val="04A0" w:firstRow="1" w:lastRow="0" w:firstColumn="1" w:lastColumn="0" w:noHBand="0" w:noVBand="1"/>
      </w:tblPr>
      <w:tblGrid>
        <w:gridCol w:w="4814"/>
        <w:gridCol w:w="3505"/>
      </w:tblGrid>
      <w:tr w:rsidR="008A76E1" w:rsidRPr="008A76E1" w:rsidTr="008A76E1">
        <w:trPr>
          <w:trHeight w:val="267"/>
        </w:trPr>
        <w:tc>
          <w:tcPr>
            <w:tcW w:w="4814" w:type="dxa"/>
            <w:tcBorders>
              <w:top w:val="single" w:sz="4" w:space="0" w:color="auto"/>
              <w:left w:val="nil"/>
              <w:bottom w:val="nil"/>
              <w:right w:val="nil"/>
            </w:tcBorders>
            <w:shd w:val="clear" w:color="auto" w:fill="auto"/>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Age (years)</w:t>
            </w:r>
          </w:p>
        </w:tc>
        <w:tc>
          <w:tcPr>
            <w:tcW w:w="3505" w:type="dxa"/>
            <w:tcBorders>
              <w:top w:val="single" w:sz="4" w:space="0" w:color="auto"/>
              <w:left w:val="nil"/>
              <w:bottom w:val="nil"/>
              <w:right w:val="nil"/>
            </w:tcBorders>
            <w:shd w:val="clear" w:color="auto" w:fill="auto"/>
            <w:noWrap/>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68.0 ± 10.1</w:t>
            </w:r>
          </w:p>
        </w:tc>
      </w:tr>
      <w:tr w:rsidR="008A76E1" w:rsidRPr="008A76E1" w:rsidTr="008A76E1">
        <w:trPr>
          <w:trHeight w:val="267"/>
        </w:trPr>
        <w:tc>
          <w:tcPr>
            <w:tcW w:w="4814" w:type="dxa"/>
            <w:tcBorders>
              <w:top w:val="nil"/>
              <w:left w:val="nil"/>
              <w:bottom w:val="nil"/>
              <w:right w:val="nil"/>
            </w:tcBorders>
            <w:shd w:val="clear" w:color="auto" w:fill="auto"/>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Sex (M/F)</w:t>
            </w:r>
          </w:p>
        </w:tc>
        <w:tc>
          <w:tcPr>
            <w:tcW w:w="3505" w:type="dxa"/>
            <w:tcBorders>
              <w:top w:val="nil"/>
              <w:left w:val="nil"/>
              <w:bottom w:val="nil"/>
              <w:right w:val="nil"/>
            </w:tcBorders>
            <w:shd w:val="clear" w:color="auto" w:fill="auto"/>
            <w:noWrap/>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68.7%/31.3%</w:t>
            </w:r>
          </w:p>
        </w:tc>
      </w:tr>
      <w:tr w:rsidR="008A76E1" w:rsidRPr="008A76E1" w:rsidTr="008A76E1">
        <w:trPr>
          <w:trHeight w:val="267"/>
        </w:trPr>
        <w:tc>
          <w:tcPr>
            <w:tcW w:w="4814" w:type="dxa"/>
            <w:tcBorders>
              <w:top w:val="nil"/>
              <w:left w:val="nil"/>
              <w:bottom w:val="nil"/>
              <w:right w:val="nil"/>
            </w:tcBorders>
            <w:shd w:val="clear" w:color="auto" w:fill="auto"/>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Deceased</w:t>
            </w:r>
          </w:p>
        </w:tc>
        <w:tc>
          <w:tcPr>
            <w:tcW w:w="3505" w:type="dxa"/>
            <w:tcBorders>
              <w:top w:val="nil"/>
              <w:left w:val="nil"/>
              <w:bottom w:val="nil"/>
              <w:right w:val="nil"/>
            </w:tcBorders>
            <w:shd w:val="clear" w:color="auto" w:fill="auto"/>
            <w:noWrap/>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88.4%</w:t>
            </w:r>
          </w:p>
        </w:tc>
      </w:tr>
      <w:tr w:rsidR="008A76E1" w:rsidRPr="008A76E1" w:rsidTr="008A76E1">
        <w:trPr>
          <w:trHeight w:val="267"/>
        </w:trPr>
        <w:tc>
          <w:tcPr>
            <w:tcW w:w="4814" w:type="dxa"/>
            <w:tcBorders>
              <w:top w:val="nil"/>
              <w:left w:val="nil"/>
              <w:bottom w:val="nil"/>
              <w:right w:val="nil"/>
            </w:tcBorders>
            <w:shd w:val="clear" w:color="auto" w:fill="auto"/>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Nodal failure</w:t>
            </w:r>
          </w:p>
        </w:tc>
        <w:tc>
          <w:tcPr>
            <w:tcW w:w="3505" w:type="dxa"/>
            <w:tcBorders>
              <w:top w:val="nil"/>
              <w:left w:val="nil"/>
              <w:bottom w:val="nil"/>
              <w:right w:val="nil"/>
            </w:tcBorders>
            <w:shd w:val="clear" w:color="auto" w:fill="auto"/>
            <w:noWrap/>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54.3%</w:t>
            </w:r>
          </w:p>
        </w:tc>
      </w:tr>
      <w:tr w:rsidR="008A76E1" w:rsidRPr="008A76E1" w:rsidTr="008A76E1">
        <w:trPr>
          <w:trHeight w:val="267"/>
        </w:trPr>
        <w:tc>
          <w:tcPr>
            <w:tcW w:w="4814" w:type="dxa"/>
            <w:tcBorders>
              <w:top w:val="nil"/>
              <w:left w:val="nil"/>
              <w:bottom w:val="nil"/>
              <w:right w:val="nil"/>
            </w:tcBorders>
            <w:shd w:val="clear" w:color="auto" w:fill="auto"/>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Local failure</w:t>
            </w:r>
          </w:p>
        </w:tc>
        <w:tc>
          <w:tcPr>
            <w:tcW w:w="3505" w:type="dxa"/>
            <w:tcBorders>
              <w:top w:val="nil"/>
              <w:left w:val="nil"/>
              <w:bottom w:val="nil"/>
              <w:right w:val="nil"/>
            </w:tcBorders>
            <w:shd w:val="clear" w:color="auto" w:fill="auto"/>
            <w:noWrap/>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28.2%</w:t>
            </w:r>
          </w:p>
        </w:tc>
      </w:tr>
      <w:tr w:rsidR="008A76E1" w:rsidRPr="008A76E1" w:rsidTr="008A76E1">
        <w:trPr>
          <w:trHeight w:val="267"/>
        </w:trPr>
        <w:tc>
          <w:tcPr>
            <w:tcW w:w="4814" w:type="dxa"/>
            <w:tcBorders>
              <w:top w:val="nil"/>
              <w:left w:val="nil"/>
              <w:bottom w:val="nil"/>
              <w:right w:val="nil"/>
            </w:tcBorders>
            <w:shd w:val="clear" w:color="auto" w:fill="auto"/>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Metastasis</w:t>
            </w:r>
          </w:p>
        </w:tc>
        <w:tc>
          <w:tcPr>
            <w:tcW w:w="3505" w:type="dxa"/>
            <w:tcBorders>
              <w:top w:val="nil"/>
              <w:left w:val="nil"/>
              <w:bottom w:val="nil"/>
              <w:right w:val="nil"/>
            </w:tcBorders>
            <w:shd w:val="clear" w:color="auto" w:fill="auto"/>
            <w:noWrap/>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0.2%</w:t>
            </w:r>
          </w:p>
        </w:tc>
      </w:tr>
      <w:tr w:rsidR="008A76E1" w:rsidRPr="008A76E1" w:rsidTr="008A76E1">
        <w:trPr>
          <w:trHeight w:val="267"/>
        </w:trPr>
        <w:tc>
          <w:tcPr>
            <w:tcW w:w="4814" w:type="dxa"/>
            <w:tcBorders>
              <w:top w:val="nil"/>
              <w:left w:val="nil"/>
              <w:bottom w:val="nil"/>
              <w:right w:val="nil"/>
            </w:tcBorders>
            <w:shd w:val="clear" w:color="auto" w:fill="auto"/>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T stage (T1/T2/T3/T4)</w:t>
            </w:r>
          </w:p>
        </w:tc>
        <w:tc>
          <w:tcPr>
            <w:tcW w:w="3505" w:type="dxa"/>
            <w:tcBorders>
              <w:top w:val="nil"/>
              <w:left w:val="nil"/>
              <w:bottom w:val="nil"/>
              <w:right w:val="nil"/>
            </w:tcBorders>
            <w:shd w:val="clear" w:color="auto" w:fill="auto"/>
            <w:noWrap/>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22.1% / 37.1% / 12.6% / 27.8%</w:t>
            </w:r>
          </w:p>
        </w:tc>
      </w:tr>
      <w:tr w:rsidR="008A76E1" w:rsidRPr="008A76E1" w:rsidTr="008A76E1">
        <w:trPr>
          <w:trHeight w:val="536"/>
        </w:trPr>
        <w:tc>
          <w:tcPr>
            <w:tcW w:w="4814" w:type="dxa"/>
            <w:tcBorders>
              <w:top w:val="nil"/>
              <w:left w:val="nil"/>
              <w:bottom w:val="single" w:sz="4" w:space="0" w:color="auto"/>
              <w:right w:val="nil"/>
            </w:tcBorders>
            <w:shd w:val="clear" w:color="auto" w:fill="auto"/>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Histology (squamous cell carcinoma/large cell/others/adenocarcinoma)</w:t>
            </w:r>
          </w:p>
        </w:tc>
        <w:tc>
          <w:tcPr>
            <w:tcW w:w="3505" w:type="dxa"/>
            <w:tcBorders>
              <w:top w:val="nil"/>
              <w:left w:val="nil"/>
              <w:bottom w:val="single" w:sz="4" w:space="0" w:color="auto"/>
              <w:right w:val="nil"/>
            </w:tcBorders>
            <w:shd w:val="clear" w:color="auto" w:fill="auto"/>
            <w:noWrap/>
            <w:vAlign w:val="center"/>
            <w:hideMark/>
          </w:tcPr>
          <w:p w:rsidR="008A76E1" w:rsidRPr="008A76E1" w:rsidRDefault="008A76E1" w:rsidP="008A76E1">
            <w:pPr>
              <w:widowControl/>
              <w:jc w:val="left"/>
              <w:rPr>
                <w:rFonts w:eastAsia="宋体"/>
                <w:color w:val="000000"/>
                <w:kern w:val="0"/>
                <w:sz w:val="18"/>
                <w:szCs w:val="18"/>
              </w:rPr>
            </w:pPr>
            <w:r w:rsidRPr="008A76E1">
              <w:rPr>
                <w:rFonts w:eastAsia="宋体"/>
                <w:color w:val="000000"/>
                <w:kern w:val="0"/>
                <w:sz w:val="18"/>
                <w:szCs w:val="18"/>
              </w:rPr>
              <w:t>40.0% / 30.0% / 16.6% / 13.4%</w:t>
            </w:r>
          </w:p>
        </w:tc>
      </w:tr>
    </w:tbl>
    <w:p w:rsidR="00762114" w:rsidRDefault="00762114" w:rsidP="001C2CDE"/>
    <w:p w:rsidR="001264E8" w:rsidRDefault="001264E8" w:rsidP="001264E8">
      <w:r w:rsidRPr="00762114">
        <w:lastRenderedPageBreak/>
        <w:t xml:space="preserve">Radiomic </w:t>
      </w:r>
      <w:r w:rsidR="000E141D">
        <w:t>F</w:t>
      </w:r>
      <w:r w:rsidRPr="00762114">
        <w:t xml:space="preserve">eature </w:t>
      </w:r>
      <w:r w:rsidR="000E141D">
        <w:t>E</w:t>
      </w:r>
      <w:r w:rsidRPr="00762114">
        <w:t>xtraction</w:t>
      </w:r>
    </w:p>
    <w:p w:rsidR="004143B4" w:rsidRDefault="004143B4" w:rsidP="004143B4">
      <w:pPr>
        <w:ind w:firstLineChars="200" w:firstLine="420"/>
      </w:pPr>
      <w:r>
        <w:t>Radiomic features were extracted using a systematic pipeline to quantify tumor characteristics from the CT images. GTV segmentations provided in the RTSTRUCT files served as the regions of interest (ROI). Contours of the GTV were identified, and three-dimensional binary masks were created to align with the geometry of the CT images.</w:t>
      </w:r>
    </w:p>
    <w:p w:rsidR="004143B4" w:rsidRDefault="004143B4" w:rsidP="004143B4">
      <w:pPr>
        <w:ind w:firstLineChars="200" w:firstLine="420"/>
      </w:pPr>
      <w:r>
        <w:t xml:space="preserve">Preprocessing included generating image types such as original, wavelet-transformed, and Laplacian of Gaussian (LoG)-filtered images, which contribute to feature extraction by emphasizing different spatial and frequency characteristics of the tumor. The radiomics analysis encompassed multiple feature categories, including: </w:t>
      </w:r>
    </w:p>
    <w:p w:rsidR="004143B4" w:rsidRDefault="004143B4" w:rsidP="001B6639">
      <w:pPr>
        <w:pStyle w:val="a9"/>
        <w:numPr>
          <w:ilvl w:val="0"/>
          <w:numId w:val="4"/>
        </w:numPr>
      </w:pPr>
      <w:r>
        <w:t>First-Order Statistics: 19 features quantifying voxel intensity distributions.</w:t>
      </w:r>
    </w:p>
    <w:p w:rsidR="004143B4" w:rsidRDefault="004143B4" w:rsidP="001B6639">
      <w:pPr>
        <w:pStyle w:val="a9"/>
        <w:numPr>
          <w:ilvl w:val="0"/>
          <w:numId w:val="4"/>
        </w:numPr>
      </w:pPr>
      <w:r>
        <w:t>Shape-based Features: 16 3D features describing tumor geometry.</w:t>
      </w:r>
    </w:p>
    <w:p w:rsidR="004143B4" w:rsidRDefault="004143B4" w:rsidP="001B6639">
      <w:pPr>
        <w:pStyle w:val="a9"/>
        <w:numPr>
          <w:ilvl w:val="0"/>
          <w:numId w:val="4"/>
        </w:numPr>
      </w:pPr>
      <w:r>
        <w:t>Texture Features: Derived from matrices such as the Gray Level Co-occurrence Matrix (GLCM, 24 features), Gray Level Run Length Matrix (GLRLM, 16 features), Gray Level Size Zone Matrix (GLSZM, 16 features), Neighboring Gray Tone Difference Matrix (NGTDM, 5 features), and Gray Level Dependence Matrix (GLDM, 14 features).</w:t>
      </w:r>
    </w:p>
    <w:p w:rsidR="001B6639" w:rsidRDefault="004143B4" w:rsidP="001B6639">
      <w:r>
        <w:t>In total, 1,223 features were extracted per patient, covering both intensity and texture characteristics.  The extraction adhered to IBSI guidelines to maintain consistency and reproducibility.</w:t>
      </w:r>
    </w:p>
    <w:p w:rsidR="001B6639" w:rsidRDefault="001B6639" w:rsidP="001B6639"/>
    <w:p w:rsidR="001B6639" w:rsidRDefault="001B6639" w:rsidP="001B6639">
      <w:r w:rsidRPr="001B6639">
        <w:t>Survival Modeling</w:t>
      </w:r>
      <w:r w:rsidR="00E821D9">
        <w:t xml:space="preserve"> and Analysis</w:t>
      </w:r>
    </w:p>
    <w:p w:rsidR="00E821D9" w:rsidRDefault="00E821D9" w:rsidP="00E821D9">
      <w:pPr>
        <w:ind w:firstLineChars="200" w:firstLine="420"/>
      </w:pPr>
      <w:r>
        <w:t>To model overall survival, three machine learning approaches were employed: C</w:t>
      </w:r>
      <w:r w:rsidR="00AC2565">
        <w:t xml:space="preserve">OX, </w:t>
      </w:r>
      <w:r>
        <w:t xml:space="preserve">GBM, and RSF. The analysis incorporated three feature sets: clinical features alone, radiomics features alone, and a combined set of clinical and radiomics features. This approach allowed for evaluating the individual and joint contributions of these feature types to survival prediction. Feature selection was performed using a LASSO-based Cox regression model. This approach penalizes less informative features and retains those most significantly associated with overall survival, effectively minimizing redundancy and enhancing model interpretability. The LASSO model identifies features by shrinking the coefficients of irrelevant variables to zero while retaining those with meaningful prognostic contributions. Subsequently, models were trained on the selected features using cross-validation to ensure robustness and to prevent overfitting. </w:t>
      </w:r>
    </w:p>
    <w:p w:rsidR="00E821D9" w:rsidRDefault="00E821D9" w:rsidP="00E821D9">
      <w:pPr>
        <w:ind w:firstLineChars="200" w:firstLine="420"/>
      </w:pPr>
      <w:r>
        <w:t>Model performance was evaluated using the C-index, a metric quantifying the predictive accuracy of survival models. Based on the predicted risk scores, patients were stratified into high-risk and low-risk groups. Kaplan-Meier survival analysis was applied to evaluate the survival differences between these groups, with statistical significance assessed using log-rank tests. Furthermore, SHAP values were calculated to interpret the importance of individual features in predicting patient outcomes, offering insights into the contributions of both clinical and radiomics variables.</w:t>
      </w:r>
    </w:p>
    <w:p w:rsidR="001B6639" w:rsidRDefault="00E821D9" w:rsidP="00E821D9">
      <w:pPr>
        <w:ind w:firstLineChars="200" w:firstLine="420"/>
      </w:pPr>
      <w:r>
        <w:t>This comprehensive framework provided a nuanced understanding of the predictors of NSCLC overall survival, leveraging advanced machine learning techniques to integrate and analyze complex cases.</w:t>
      </w:r>
    </w:p>
    <w:p w:rsidR="006346C3" w:rsidRDefault="006346C3" w:rsidP="00E821D9">
      <w:pPr>
        <w:ind w:firstLineChars="200" w:firstLine="420"/>
      </w:pPr>
    </w:p>
    <w:p w:rsidR="00B44A8E" w:rsidRDefault="00676EBB" w:rsidP="001B45BB">
      <w:pPr>
        <w:rPr>
          <w:b/>
          <w:bCs/>
        </w:rPr>
      </w:pPr>
      <w:r w:rsidRPr="00676EBB">
        <w:rPr>
          <w:rFonts w:hint="eastAsia"/>
          <w:b/>
          <w:bCs/>
        </w:rPr>
        <w:t>Res</w:t>
      </w:r>
      <w:r w:rsidRPr="00676EBB">
        <w:rPr>
          <w:b/>
          <w:bCs/>
        </w:rPr>
        <w:t>ults</w:t>
      </w:r>
    </w:p>
    <w:p w:rsidR="002E1C0B" w:rsidRDefault="002E1C0B" w:rsidP="001B45BB">
      <w:pPr>
        <w:rPr>
          <w:b/>
          <w:bCs/>
        </w:rPr>
      </w:pPr>
    </w:p>
    <w:p w:rsidR="002E1C0B" w:rsidRPr="002E1C0B" w:rsidRDefault="002E1C0B" w:rsidP="002E1C0B">
      <w:pPr>
        <w:rPr>
          <w:rFonts w:hint="eastAsia"/>
        </w:rPr>
      </w:pPr>
      <w:r w:rsidRPr="002E1C0B">
        <w:t>C-Index Performance Across Models</w:t>
      </w:r>
    </w:p>
    <w:p w:rsidR="001458B5" w:rsidRPr="002E1C0B" w:rsidRDefault="002E1C0B" w:rsidP="002E1C0B">
      <w:pPr>
        <w:ind w:firstLineChars="200" w:firstLine="420"/>
      </w:pPr>
      <w:r w:rsidRPr="002E1C0B">
        <w:t>The predictive performance of the three machine learning models</w:t>
      </w:r>
      <w:r>
        <w:t xml:space="preserve"> </w:t>
      </w:r>
      <w:r w:rsidRPr="002E1C0B">
        <w:t>COX, GBM, and RS</w:t>
      </w:r>
      <w:r>
        <w:t xml:space="preserve">F </w:t>
      </w:r>
      <w:r w:rsidRPr="002E1C0B">
        <w:t xml:space="preserve">was </w:t>
      </w:r>
      <w:r w:rsidRPr="002E1C0B">
        <w:lastRenderedPageBreak/>
        <w:t>assessed using the C-index. Table 2 summarizes the average C-index and standard deviation (±STD) for each model across the three feature sets: clinical features, radiomics features, and mixed features.</w:t>
      </w:r>
    </w:p>
    <w:p w:rsidR="001458B5" w:rsidRPr="002E1C0B" w:rsidRDefault="001458B5" w:rsidP="001B45BB">
      <w:pPr>
        <w:rPr>
          <w:rFonts w:hint="eastAsia"/>
          <w:sz w:val="18"/>
          <w:szCs w:val="18"/>
        </w:rPr>
      </w:pPr>
    </w:p>
    <w:tbl>
      <w:tblPr>
        <w:tblpPr w:leftFromText="180" w:rightFromText="180" w:vertAnchor="page" w:horzAnchor="margin" w:tblpY="2759"/>
        <w:tblW w:w="8305" w:type="dxa"/>
        <w:tblLook w:val="04A0" w:firstRow="1" w:lastRow="0" w:firstColumn="1" w:lastColumn="0" w:noHBand="0" w:noVBand="1"/>
      </w:tblPr>
      <w:tblGrid>
        <w:gridCol w:w="2266"/>
        <w:gridCol w:w="6039"/>
      </w:tblGrid>
      <w:tr w:rsidR="00B82D70" w:rsidRPr="002E1C0B" w:rsidTr="00B82D70">
        <w:trPr>
          <w:trHeight w:val="293"/>
          <w:tblHeader/>
        </w:trPr>
        <w:tc>
          <w:tcPr>
            <w:tcW w:w="2266" w:type="dxa"/>
            <w:tcBorders>
              <w:top w:val="single" w:sz="4" w:space="0" w:color="auto"/>
              <w:left w:val="nil"/>
              <w:bottom w:val="single" w:sz="4" w:space="0" w:color="auto"/>
              <w:right w:val="nil"/>
            </w:tcBorders>
            <w:shd w:val="clear" w:color="auto" w:fill="auto"/>
            <w:noWrap/>
            <w:hideMark/>
          </w:tcPr>
          <w:p w:rsidR="00B82D70" w:rsidRPr="002E1C0B" w:rsidRDefault="00B82D70" w:rsidP="00B82D70">
            <w:pPr>
              <w:widowControl/>
              <w:jc w:val="left"/>
              <w:rPr>
                <w:rFonts w:eastAsia="宋体"/>
                <w:b/>
                <w:bCs/>
                <w:color w:val="000000"/>
                <w:kern w:val="0"/>
                <w:sz w:val="18"/>
                <w:szCs w:val="18"/>
              </w:rPr>
            </w:pPr>
            <w:r w:rsidRPr="002E1C0B">
              <w:rPr>
                <w:rFonts w:eastAsia="宋体"/>
                <w:b/>
                <w:bCs/>
                <w:color w:val="000000"/>
                <w:kern w:val="0"/>
                <w:sz w:val="18"/>
                <w:szCs w:val="18"/>
              </w:rPr>
              <w:t>Feature type</w:t>
            </w:r>
          </w:p>
        </w:tc>
        <w:tc>
          <w:tcPr>
            <w:tcW w:w="6039" w:type="dxa"/>
            <w:tcBorders>
              <w:top w:val="single" w:sz="4" w:space="0" w:color="auto"/>
              <w:left w:val="nil"/>
              <w:bottom w:val="single" w:sz="4" w:space="0" w:color="auto"/>
              <w:right w:val="nil"/>
            </w:tcBorders>
            <w:shd w:val="clear" w:color="auto" w:fill="auto"/>
            <w:noWrap/>
            <w:hideMark/>
          </w:tcPr>
          <w:p w:rsidR="00B82D70" w:rsidRPr="002E1C0B" w:rsidRDefault="00B82D70" w:rsidP="00B82D70">
            <w:pPr>
              <w:widowControl/>
              <w:jc w:val="center"/>
              <w:rPr>
                <w:rFonts w:eastAsia="宋体"/>
                <w:b/>
                <w:bCs/>
                <w:color w:val="000000"/>
                <w:kern w:val="0"/>
                <w:sz w:val="18"/>
                <w:szCs w:val="18"/>
              </w:rPr>
            </w:pPr>
            <w:r w:rsidRPr="002E1C0B">
              <w:rPr>
                <w:rFonts w:eastAsia="宋体"/>
                <w:b/>
                <w:bCs/>
                <w:color w:val="000000"/>
                <w:kern w:val="0"/>
                <w:sz w:val="18"/>
                <w:szCs w:val="18"/>
              </w:rPr>
              <w:t>Average C-index (±STD)</w:t>
            </w:r>
          </w:p>
        </w:tc>
      </w:tr>
      <w:tr w:rsidR="00B82D70" w:rsidRPr="002E1C0B" w:rsidTr="00B82D70">
        <w:trPr>
          <w:trHeight w:val="293"/>
          <w:tblHeader/>
        </w:trPr>
        <w:tc>
          <w:tcPr>
            <w:tcW w:w="2266"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COX</w:t>
            </w:r>
          </w:p>
        </w:tc>
        <w:tc>
          <w:tcPr>
            <w:tcW w:w="6039"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p>
        </w:tc>
      </w:tr>
      <w:tr w:rsidR="00B82D70" w:rsidRPr="002E1C0B" w:rsidTr="00B82D70">
        <w:trPr>
          <w:trHeight w:val="293"/>
          <w:tblHeader/>
        </w:trPr>
        <w:tc>
          <w:tcPr>
            <w:tcW w:w="2266"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 xml:space="preserve">  clinical features</w:t>
            </w:r>
          </w:p>
        </w:tc>
        <w:tc>
          <w:tcPr>
            <w:tcW w:w="6039" w:type="dxa"/>
            <w:tcBorders>
              <w:top w:val="nil"/>
              <w:left w:val="nil"/>
              <w:bottom w:val="nil"/>
              <w:right w:val="nil"/>
            </w:tcBorders>
            <w:shd w:val="clear" w:color="auto" w:fill="auto"/>
            <w:noWrap/>
            <w:hideMark/>
          </w:tcPr>
          <w:p w:rsidR="00B82D70" w:rsidRPr="002E1C0B" w:rsidRDefault="00B82D70" w:rsidP="00B82D70">
            <w:pPr>
              <w:widowControl/>
              <w:jc w:val="center"/>
              <w:rPr>
                <w:rFonts w:eastAsia="宋体"/>
                <w:color w:val="000000"/>
                <w:kern w:val="0"/>
                <w:sz w:val="18"/>
                <w:szCs w:val="18"/>
              </w:rPr>
            </w:pPr>
            <w:r w:rsidRPr="002E1C0B">
              <w:rPr>
                <w:rFonts w:eastAsia="宋体"/>
                <w:color w:val="000000"/>
                <w:kern w:val="0"/>
                <w:sz w:val="18"/>
                <w:szCs w:val="18"/>
              </w:rPr>
              <w:t>0.560 (±0.045)</w:t>
            </w:r>
          </w:p>
        </w:tc>
      </w:tr>
      <w:tr w:rsidR="00B82D70" w:rsidRPr="002E1C0B" w:rsidTr="00B82D70">
        <w:trPr>
          <w:trHeight w:val="293"/>
          <w:tblHeader/>
        </w:trPr>
        <w:tc>
          <w:tcPr>
            <w:tcW w:w="2266"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 xml:space="preserve">  radiomics features</w:t>
            </w:r>
          </w:p>
        </w:tc>
        <w:tc>
          <w:tcPr>
            <w:tcW w:w="6039" w:type="dxa"/>
            <w:tcBorders>
              <w:top w:val="nil"/>
              <w:left w:val="nil"/>
              <w:bottom w:val="nil"/>
              <w:right w:val="nil"/>
            </w:tcBorders>
            <w:shd w:val="clear" w:color="auto" w:fill="auto"/>
            <w:noWrap/>
            <w:hideMark/>
          </w:tcPr>
          <w:p w:rsidR="00B82D70" w:rsidRPr="002E1C0B" w:rsidRDefault="00B82D70" w:rsidP="00B82D70">
            <w:pPr>
              <w:widowControl/>
              <w:jc w:val="center"/>
              <w:rPr>
                <w:rFonts w:eastAsia="宋体"/>
                <w:color w:val="000000"/>
                <w:kern w:val="0"/>
                <w:sz w:val="18"/>
                <w:szCs w:val="18"/>
              </w:rPr>
            </w:pPr>
            <w:r w:rsidRPr="002E1C0B">
              <w:rPr>
                <w:rFonts w:eastAsia="宋体"/>
                <w:color w:val="000000"/>
                <w:kern w:val="0"/>
                <w:sz w:val="18"/>
                <w:szCs w:val="18"/>
              </w:rPr>
              <w:t>0.638 (±0.053)</w:t>
            </w:r>
          </w:p>
        </w:tc>
      </w:tr>
      <w:tr w:rsidR="00B82D70" w:rsidRPr="002E1C0B" w:rsidTr="00B82D70">
        <w:trPr>
          <w:trHeight w:val="293"/>
          <w:tblHeader/>
        </w:trPr>
        <w:tc>
          <w:tcPr>
            <w:tcW w:w="2266"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 xml:space="preserve">  mixed features</w:t>
            </w:r>
          </w:p>
        </w:tc>
        <w:tc>
          <w:tcPr>
            <w:tcW w:w="6039" w:type="dxa"/>
            <w:tcBorders>
              <w:top w:val="nil"/>
              <w:left w:val="nil"/>
              <w:bottom w:val="nil"/>
              <w:right w:val="nil"/>
            </w:tcBorders>
            <w:shd w:val="clear" w:color="auto" w:fill="auto"/>
            <w:noWrap/>
            <w:hideMark/>
          </w:tcPr>
          <w:p w:rsidR="00B82D70" w:rsidRPr="002E1C0B" w:rsidRDefault="00B82D70" w:rsidP="00B82D70">
            <w:pPr>
              <w:widowControl/>
              <w:jc w:val="center"/>
              <w:rPr>
                <w:rFonts w:eastAsia="宋体"/>
                <w:color w:val="000000"/>
                <w:kern w:val="0"/>
                <w:sz w:val="18"/>
                <w:szCs w:val="18"/>
              </w:rPr>
            </w:pPr>
            <w:r w:rsidRPr="002E1C0B">
              <w:rPr>
                <w:rFonts w:eastAsia="宋体"/>
                <w:color w:val="000000"/>
                <w:kern w:val="0"/>
                <w:sz w:val="18"/>
                <w:szCs w:val="18"/>
              </w:rPr>
              <w:t>0.636 (±0.022)</w:t>
            </w:r>
          </w:p>
        </w:tc>
      </w:tr>
      <w:tr w:rsidR="00B82D70" w:rsidRPr="002E1C0B" w:rsidTr="00B82D70">
        <w:trPr>
          <w:trHeight w:val="293"/>
          <w:tblHeader/>
        </w:trPr>
        <w:tc>
          <w:tcPr>
            <w:tcW w:w="2266"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GBM</w:t>
            </w:r>
          </w:p>
        </w:tc>
        <w:tc>
          <w:tcPr>
            <w:tcW w:w="6039"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p>
        </w:tc>
      </w:tr>
      <w:tr w:rsidR="00B82D70" w:rsidRPr="002E1C0B" w:rsidTr="00B82D70">
        <w:trPr>
          <w:trHeight w:val="293"/>
          <w:tblHeader/>
        </w:trPr>
        <w:tc>
          <w:tcPr>
            <w:tcW w:w="2266"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 xml:space="preserve">  clinical features</w:t>
            </w:r>
          </w:p>
        </w:tc>
        <w:tc>
          <w:tcPr>
            <w:tcW w:w="6039" w:type="dxa"/>
            <w:tcBorders>
              <w:top w:val="nil"/>
              <w:left w:val="nil"/>
              <w:bottom w:val="nil"/>
              <w:right w:val="nil"/>
            </w:tcBorders>
            <w:shd w:val="clear" w:color="auto" w:fill="auto"/>
            <w:noWrap/>
            <w:hideMark/>
          </w:tcPr>
          <w:p w:rsidR="00B82D70" w:rsidRPr="002E1C0B" w:rsidRDefault="00B82D70" w:rsidP="00B82D70">
            <w:pPr>
              <w:widowControl/>
              <w:jc w:val="center"/>
              <w:rPr>
                <w:rFonts w:eastAsia="宋体"/>
                <w:color w:val="000000"/>
                <w:kern w:val="0"/>
                <w:sz w:val="18"/>
                <w:szCs w:val="18"/>
              </w:rPr>
            </w:pPr>
            <w:r w:rsidRPr="002E1C0B">
              <w:rPr>
                <w:rFonts w:eastAsia="宋体"/>
                <w:color w:val="000000"/>
                <w:kern w:val="0"/>
                <w:sz w:val="18"/>
                <w:szCs w:val="18"/>
              </w:rPr>
              <w:t>0.568 (±0.036)</w:t>
            </w:r>
          </w:p>
        </w:tc>
      </w:tr>
      <w:tr w:rsidR="00B82D70" w:rsidRPr="002E1C0B" w:rsidTr="00B82D70">
        <w:trPr>
          <w:trHeight w:val="293"/>
          <w:tblHeader/>
        </w:trPr>
        <w:tc>
          <w:tcPr>
            <w:tcW w:w="2266"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 xml:space="preserve">  radiomics features</w:t>
            </w:r>
          </w:p>
        </w:tc>
        <w:tc>
          <w:tcPr>
            <w:tcW w:w="6039" w:type="dxa"/>
            <w:tcBorders>
              <w:top w:val="nil"/>
              <w:left w:val="nil"/>
              <w:bottom w:val="nil"/>
              <w:right w:val="nil"/>
            </w:tcBorders>
            <w:shd w:val="clear" w:color="auto" w:fill="auto"/>
            <w:noWrap/>
            <w:hideMark/>
          </w:tcPr>
          <w:p w:rsidR="00B82D70" w:rsidRPr="002E1C0B" w:rsidRDefault="00B82D70" w:rsidP="00B82D70">
            <w:pPr>
              <w:widowControl/>
              <w:jc w:val="center"/>
              <w:rPr>
                <w:rFonts w:eastAsia="宋体"/>
                <w:color w:val="000000"/>
                <w:kern w:val="0"/>
                <w:sz w:val="18"/>
                <w:szCs w:val="18"/>
              </w:rPr>
            </w:pPr>
            <w:r w:rsidRPr="002E1C0B">
              <w:rPr>
                <w:rFonts w:eastAsia="宋体"/>
                <w:color w:val="000000"/>
                <w:kern w:val="0"/>
                <w:sz w:val="18"/>
                <w:szCs w:val="18"/>
              </w:rPr>
              <w:t>0.601 (±0.041)</w:t>
            </w:r>
          </w:p>
        </w:tc>
      </w:tr>
      <w:tr w:rsidR="00B82D70" w:rsidRPr="002E1C0B" w:rsidTr="00B82D70">
        <w:trPr>
          <w:trHeight w:val="293"/>
          <w:tblHeader/>
        </w:trPr>
        <w:tc>
          <w:tcPr>
            <w:tcW w:w="2266"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 xml:space="preserve">  mixed features</w:t>
            </w:r>
          </w:p>
        </w:tc>
        <w:tc>
          <w:tcPr>
            <w:tcW w:w="6039" w:type="dxa"/>
            <w:tcBorders>
              <w:top w:val="nil"/>
              <w:left w:val="nil"/>
              <w:bottom w:val="nil"/>
              <w:right w:val="nil"/>
            </w:tcBorders>
            <w:shd w:val="clear" w:color="auto" w:fill="auto"/>
            <w:noWrap/>
            <w:hideMark/>
          </w:tcPr>
          <w:p w:rsidR="00B82D70" w:rsidRPr="002E1C0B" w:rsidRDefault="00B82D70" w:rsidP="00B82D70">
            <w:pPr>
              <w:widowControl/>
              <w:jc w:val="center"/>
              <w:rPr>
                <w:rFonts w:eastAsia="宋体"/>
                <w:color w:val="000000"/>
                <w:kern w:val="0"/>
                <w:sz w:val="18"/>
                <w:szCs w:val="18"/>
              </w:rPr>
            </w:pPr>
            <w:r w:rsidRPr="002E1C0B">
              <w:rPr>
                <w:rFonts w:eastAsia="宋体"/>
                <w:color w:val="000000"/>
                <w:kern w:val="0"/>
                <w:sz w:val="18"/>
                <w:szCs w:val="18"/>
              </w:rPr>
              <w:t>0.605 (±0.021)</w:t>
            </w:r>
          </w:p>
        </w:tc>
      </w:tr>
      <w:tr w:rsidR="00B82D70" w:rsidRPr="002E1C0B" w:rsidTr="00B82D70">
        <w:trPr>
          <w:trHeight w:val="293"/>
          <w:tblHeader/>
        </w:trPr>
        <w:tc>
          <w:tcPr>
            <w:tcW w:w="2266"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RSF</w:t>
            </w:r>
          </w:p>
        </w:tc>
        <w:tc>
          <w:tcPr>
            <w:tcW w:w="6039"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p>
        </w:tc>
      </w:tr>
      <w:tr w:rsidR="00B82D70" w:rsidRPr="002E1C0B" w:rsidTr="00B82D70">
        <w:trPr>
          <w:trHeight w:val="293"/>
          <w:tblHeader/>
        </w:trPr>
        <w:tc>
          <w:tcPr>
            <w:tcW w:w="2266"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 xml:space="preserve">  clinical features</w:t>
            </w:r>
          </w:p>
        </w:tc>
        <w:tc>
          <w:tcPr>
            <w:tcW w:w="6039" w:type="dxa"/>
            <w:tcBorders>
              <w:top w:val="nil"/>
              <w:left w:val="nil"/>
              <w:bottom w:val="nil"/>
              <w:right w:val="nil"/>
            </w:tcBorders>
            <w:shd w:val="clear" w:color="auto" w:fill="auto"/>
            <w:noWrap/>
            <w:hideMark/>
          </w:tcPr>
          <w:p w:rsidR="00B82D70" w:rsidRPr="002E1C0B" w:rsidRDefault="00B82D70" w:rsidP="00B82D70">
            <w:pPr>
              <w:widowControl/>
              <w:jc w:val="center"/>
              <w:rPr>
                <w:rFonts w:eastAsia="宋体"/>
                <w:color w:val="000000"/>
                <w:kern w:val="0"/>
                <w:sz w:val="18"/>
                <w:szCs w:val="18"/>
              </w:rPr>
            </w:pPr>
            <w:r w:rsidRPr="002E1C0B">
              <w:rPr>
                <w:rFonts w:eastAsia="宋体"/>
                <w:color w:val="000000"/>
                <w:kern w:val="0"/>
                <w:sz w:val="18"/>
                <w:szCs w:val="18"/>
              </w:rPr>
              <w:t>0.537 (±0.015)</w:t>
            </w:r>
          </w:p>
        </w:tc>
      </w:tr>
      <w:tr w:rsidR="00B82D70" w:rsidRPr="002E1C0B" w:rsidTr="00B82D70">
        <w:trPr>
          <w:trHeight w:val="293"/>
          <w:tblHeader/>
        </w:trPr>
        <w:tc>
          <w:tcPr>
            <w:tcW w:w="2266" w:type="dxa"/>
            <w:tcBorders>
              <w:top w:val="nil"/>
              <w:left w:val="nil"/>
              <w:bottom w:val="nil"/>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 xml:space="preserve">  radiomics features</w:t>
            </w:r>
          </w:p>
        </w:tc>
        <w:tc>
          <w:tcPr>
            <w:tcW w:w="6039" w:type="dxa"/>
            <w:tcBorders>
              <w:top w:val="nil"/>
              <w:left w:val="nil"/>
              <w:bottom w:val="nil"/>
              <w:right w:val="nil"/>
            </w:tcBorders>
            <w:shd w:val="clear" w:color="auto" w:fill="auto"/>
            <w:noWrap/>
            <w:hideMark/>
          </w:tcPr>
          <w:p w:rsidR="00B82D70" w:rsidRPr="002E1C0B" w:rsidRDefault="00B82D70" w:rsidP="00B82D70">
            <w:pPr>
              <w:widowControl/>
              <w:jc w:val="center"/>
              <w:rPr>
                <w:rFonts w:eastAsia="宋体"/>
                <w:color w:val="000000"/>
                <w:kern w:val="0"/>
                <w:sz w:val="18"/>
                <w:szCs w:val="18"/>
              </w:rPr>
            </w:pPr>
            <w:r w:rsidRPr="002E1C0B">
              <w:rPr>
                <w:rFonts w:eastAsia="宋体"/>
                <w:color w:val="000000"/>
                <w:kern w:val="0"/>
                <w:sz w:val="18"/>
                <w:szCs w:val="18"/>
              </w:rPr>
              <w:t>0.604 (±0.038)</w:t>
            </w:r>
          </w:p>
        </w:tc>
      </w:tr>
      <w:tr w:rsidR="00B82D70" w:rsidRPr="002E1C0B" w:rsidTr="00B82D70">
        <w:trPr>
          <w:trHeight w:val="293"/>
          <w:tblHeader/>
        </w:trPr>
        <w:tc>
          <w:tcPr>
            <w:tcW w:w="2266" w:type="dxa"/>
            <w:tcBorders>
              <w:top w:val="nil"/>
              <w:left w:val="nil"/>
              <w:bottom w:val="single" w:sz="4" w:space="0" w:color="auto"/>
              <w:right w:val="nil"/>
            </w:tcBorders>
            <w:shd w:val="clear" w:color="auto" w:fill="auto"/>
            <w:noWrap/>
            <w:hideMark/>
          </w:tcPr>
          <w:p w:rsidR="00B82D70" w:rsidRPr="002E1C0B" w:rsidRDefault="00B82D70" w:rsidP="00B82D70">
            <w:pPr>
              <w:widowControl/>
              <w:jc w:val="left"/>
              <w:rPr>
                <w:rFonts w:eastAsia="宋体"/>
                <w:color w:val="000000"/>
                <w:kern w:val="0"/>
                <w:sz w:val="18"/>
                <w:szCs w:val="18"/>
              </w:rPr>
            </w:pPr>
            <w:r w:rsidRPr="002E1C0B">
              <w:rPr>
                <w:rFonts w:eastAsia="宋体"/>
                <w:color w:val="000000"/>
                <w:kern w:val="0"/>
                <w:sz w:val="18"/>
                <w:szCs w:val="18"/>
              </w:rPr>
              <w:t xml:space="preserve">  mixed features</w:t>
            </w:r>
          </w:p>
        </w:tc>
        <w:tc>
          <w:tcPr>
            <w:tcW w:w="6039" w:type="dxa"/>
            <w:tcBorders>
              <w:top w:val="nil"/>
              <w:left w:val="nil"/>
              <w:bottom w:val="single" w:sz="4" w:space="0" w:color="auto"/>
              <w:right w:val="nil"/>
            </w:tcBorders>
            <w:shd w:val="clear" w:color="auto" w:fill="auto"/>
            <w:noWrap/>
            <w:hideMark/>
          </w:tcPr>
          <w:p w:rsidR="00B82D70" w:rsidRPr="002E1C0B" w:rsidRDefault="00B82D70" w:rsidP="00B82D70">
            <w:pPr>
              <w:widowControl/>
              <w:jc w:val="center"/>
              <w:rPr>
                <w:rFonts w:eastAsia="宋体"/>
                <w:color w:val="000000"/>
                <w:kern w:val="0"/>
                <w:sz w:val="18"/>
                <w:szCs w:val="18"/>
              </w:rPr>
            </w:pPr>
            <w:r w:rsidRPr="002E1C0B">
              <w:rPr>
                <w:rFonts w:eastAsia="宋体"/>
                <w:color w:val="000000"/>
                <w:kern w:val="0"/>
                <w:sz w:val="18"/>
                <w:szCs w:val="18"/>
              </w:rPr>
              <w:t>0.609 (±0.020)</w:t>
            </w:r>
          </w:p>
        </w:tc>
      </w:tr>
    </w:tbl>
    <w:p w:rsidR="001458B5" w:rsidRDefault="00783DF7" w:rsidP="001B45BB">
      <w:pPr>
        <w:rPr>
          <w:b/>
          <w:bCs/>
          <w:sz w:val="18"/>
          <w:szCs w:val="18"/>
        </w:rPr>
      </w:pPr>
      <w:r>
        <w:rPr>
          <w:rFonts w:hint="eastAsia"/>
          <w:b/>
          <w:bCs/>
          <w:sz w:val="18"/>
          <w:szCs w:val="18"/>
        </w:rPr>
        <w:t>T</w:t>
      </w:r>
      <w:r>
        <w:rPr>
          <w:b/>
          <w:bCs/>
          <w:sz w:val="18"/>
          <w:szCs w:val="18"/>
        </w:rPr>
        <w:t>able 2.</w:t>
      </w:r>
      <w:r w:rsidRPr="002E1C0B">
        <w:t xml:space="preserve"> </w:t>
      </w:r>
      <w:r w:rsidRPr="002E1C0B">
        <w:rPr>
          <w:sz w:val="18"/>
          <w:szCs w:val="18"/>
        </w:rPr>
        <w:t>Model performance as measured by C-index (±STD).</w:t>
      </w:r>
    </w:p>
    <w:p w:rsidR="00783DF7" w:rsidRDefault="00783DF7" w:rsidP="001B45BB"/>
    <w:p w:rsidR="001B45BB" w:rsidRDefault="00783DF7" w:rsidP="00783DF7">
      <w:pPr>
        <w:ind w:firstLineChars="200" w:firstLine="420"/>
      </w:pPr>
      <w:r w:rsidRPr="00783DF7">
        <w:t>The COX model demonstrated superior predictive performance compared to GBM and RSF, achieving the highest average C-index. Notably, radiomics features outperformed clinical features across all models, highlighting the added prognostic value of radiomics in predicting overall survival. Furthermore, combining clinical and radiomics features (mixed features) slightly improved model performance, suggesting that integrating these two feature types provides complementary information for survival prediction.</w:t>
      </w:r>
    </w:p>
    <w:p w:rsidR="007062B1" w:rsidRDefault="007062B1" w:rsidP="007062B1"/>
    <w:p w:rsidR="00F7091E" w:rsidRDefault="007062B1" w:rsidP="00F7091E">
      <w:pPr>
        <w:rPr>
          <w:rFonts w:hint="eastAsia"/>
        </w:rPr>
      </w:pPr>
      <w:r>
        <w:rPr>
          <w:rFonts w:hint="eastAsia"/>
        </w:rPr>
        <w:t>Feature</w:t>
      </w:r>
      <w:r>
        <w:t xml:space="preserve"> </w:t>
      </w:r>
      <w:r>
        <w:rPr>
          <w:color w:val="141413"/>
          <w:kern w:val="0"/>
          <w:sz w:val="20"/>
          <w:szCs w:val="20"/>
        </w:rPr>
        <w:t>I</w:t>
      </w:r>
      <w:r>
        <w:rPr>
          <w:color w:val="141413"/>
          <w:kern w:val="0"/>
          <w:sz w:val="20"/>
          <w:szCs w:val="20"/>
        </w:rPr>
        <w:t xml:space="preserve">mportance </w:t>
      </w:r>
      <w:r>
        <w:rPr>
          <w:color w:val="141413"/>
          <w:kern w:val="0"/>
          <w:sz w:val="20"/>
          <w:szCs w:val="20"/>
        </w:rPr>
        <w:t>A</w:t>
      </w:r>
      <w:r>
        <w:rPr>
          <w:color w:val="141413"/>
          <w:kern w:val="0"/>
          <w:sz w:val="20"/>
          <w:szCs w:val="20"/>
        </w:rPr>
        <w:t>nalysis</w:t>
      </w:r>
    </w:p>
    <w:p w:rsidR="00F7091E" w:rsidRDefault="00F7091E" w:rsidP="00F7091E">
      <w:pPr>
        <w:ind w:firstLineChars="200" w:firstLine="420"/>
      </w:pPr>
      <w:r>
        <w:t>To interpret the contribution of individual features to the survival prediction, SHapley Additive exPlanations (SHAP) were employed for the COX model. Separate analyses were conducted for radiomics and clinical features, as shown in Figure 2.</w:t>
      </w:r>
    </w:p>
    <w:p w:rsidR="003613AD" w:rsidRDefault="00F7091E" w:rsidP="0063334C">
      <w:pPr>
        <w:ind w:firstLineChars="200" w:firstLine="420"/>
      </w:pPr>
      <w:r>
        <w:t>The radiomics SHAP summary plot highlights the most influential radiomics features in predicting overall survival. Among these, glcm_MCC and gldm_SmallDepLowGLE demonstrated substantial contributions, with high SHAP values indicating a strong impact on the risk prediction. Additional impactful features include glszm_SmallAreaHighGLE, which captures the presence of small, bright homogeneous regions, and wavelet_HLH_Median, representing the central tendency of voxel intensity in filtered images.</w:t>
      </w:r>
      <w:r w:rsidR="003613AD">
        <w:rPr>
          <w:rFonts w:hint="eastAsia"/>
        </w:rPr>
        <w:t xml:space="preserve"> </w:t>
      </w:r>
      <w:r>
        <w:t>Wavelet-transformed features, such as wavelet_HLL_ZoneVar</w:t>
      </w:r>
      <w:r>
        <w:t>iance</w:t>
      </w:r>
      <w:r>
        <w:t>, further underscore the role of texture-based radiomics in prognostication by capturing spatial variability. The integration of these diverse radiomics features emphasizes the complexity and multidimensionality of tumor characterization.</w:t>
      </w:r>
    </w:p>
    <w:p w:rsidR="007062B1" w:rsidRPr="00F7091E" w:rsidRDefault="00F7091E" w:rsidP="003613AD">
      <w:pPr>
        <w:ind w:firstLineChars="200" w:firstLine="420"/>
      </w:pPr>
      <w:r>
        <w:t xml:space="preserve">For clinical features, the SHAP analysis identified </w:t>
      </w:r>
      <w:r w:rsidR="003613AD">
        <w:t>o</w:t>
      </w:r>
      <w:r>
        <w:t>verall</w:t>
      </w:r>
      <w:r w:rsidR="003613AD">
        <w:t xml:space="preserve"> s</w:t>
      </w:r>
      <w:r>
        <w:t>tage and</w:t>
      </w:r>
      <w:r w:rsidR="003613AD">
        <w:t xml:space="preserve"> </w:t>
      </w:r>
      <w:r>
        <w:t>T</w:t>
      </w:r>
      <w:r w:rsidR="003613AD">
        <w:t xml:space="preserve"> s</w:t>
      </w:r>
      <w:r>
        <w:t>tage as the most critical predictors of survival. These results align with established clinical knowledge, as tumor stage is a key determinant of prognosis in NSCLC. Other clinical features, such as N</w:t>
      </w:r>
      <w:r w:rsidR="003613AD">
        <w:t xml:space="preserve"> s</w:t>
      </w:r>
      <w:r>
        <w:t>tage and age, contributed to risk stratification but with comparatively smaller SHAP values.</w:t>
      </w:r>
    </w:p>
    <w:p w:rsidR="00EB7CB6" w:rsidRPr="0063334C" w:rsidRDefault="00EB7CB6" w:rsidP="00EB7CB6"/>
    <w:p w:rsidR="00EB7CB6" w:rsidRDefault="00EB7CB6" w:rsidP="00EB7CB6">
      <w:pPr>
        <w:rPr>
          <w:rFonts w:hint="eastAsia"/>
        </w:rPr>
      </w:pPr>
      <w:r>
        <w:t>Patient Stratification and Kaplan-Meier Analysis</w:t>
      </w:r>
    </w:p>
    <w:p w:rsidR="00EB7CB6" w:rsidRDefault="00EB7CB6" w:rsidP="00EB7CB6">
      <w:pPr>
        <w:ind w:firstLineChars="200" w:firstLine="420"/>
      </w:pPr>
      <w:r>
        <w:lastRenderedPageBreak/>
        <w:t>Kaplan-Meier survival analysis was conducted to evaluate the efficacy of patient stratification based on predicted risk scores. Patients were divided into high-risk and low-risk groups according to the median risk score generated by each of the three machine learning models: COX, GBM, and RSF. Survival differences between these groups were assessed using the log-rank test, with all p-values indicating statistical significance (p &lt; 0.05).</w:t>
      </w:r>
    </w:p>
    <w:p w:rsidR="001B45BB" w:rsidRPr="00EB7CB6" w:rsidRDefault="006346C3" w:rsidP="00EB7CB6">
      <w:pPr>
        <w:ind w:firstLineChars="200" w:firstLine="420"/>
      </w:pPr>
      <w:r>
        <w:rPr>
          <w:noProof/>
        </w:rPr>
        <w:drawing>
          <wp:anchor distT="0" distB="0" distL="114300" distR="114300" simplePos="0" relativeHeight="251659264" behindDoc="0" locked="0" layoutInCell="1" allowOverlap="1">
            <wp:simplePos x="0" y="0"/>
            <wp:positionH relativeFrom="column">
              <wp:posOffset>-10160</wp:posOffset>
            </wp:positionH>
            <wp:positionV relativeFrom="paragraph">
              <wp:posOffset>2237105</wp:posOffset>
            </wp:positionV>
            <wp:extent cx="5274310" cy="1894205"/>
            <wp:effectExtent l="0" t="0" r="0" b="0"/>
            <wp:wrapSquare wrapText="bothSides"/>
            <wp:docPr id="9187699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69922" name="图片 918769922"/>
                    <pic:cNvPicPr/>
                  </pic:nvPicPr>
                  <pic:blipFill rotWithShape="1">
                    <a:blip r:embed="rId7" cstate="print">
                      <a:extLst>
                        <a:ext uri="{28A0092B-C50C-407E-A947-70E740481C1C}">
                          <a14:useLocalDpi xmlns:a14="http://schemas.microsoft.com/office/drawing/2010/main" val="0"/>
                        </a:ext>
                      </a:extLst>
                    </a:blip>
                    <a:srcRect t="15616" b="20512"/>
                    <a:stretch/>
                  </pic:blipFill>
                  <pic:spPr bwMode="auto">
                    <a:xfrm>
                      <a:off x="0" y="0"/>
                      <a:ext cx="5274310" cy="1894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7CB6">
        <w:t>Figure 1 presents the Kaplan-Meier survival curves for clinical features, radiomics features, and mixed features across the three models. The results demonstrate that each model effectively stratified patients into distinct risk groups, as reflected in the significant survival differences observed between the high-risk and low-risk groups. The log-rank p-values further validate the ability of the models to differentiate survival outcomes based on predicted risk scores.</w:t>
      </w:r>
      <w:r w:rsidR="00EB7CB6">
        <w:t xml:space="preserve"> </w:t>
      </w:r>
      <w:r w:rsidR="00EB7CB6">
        <w:t>Radiomics features consistently showed better stratification performance compared to clinical features alone, highlighting their strong prognostic value in predicting overall survival. Additionally, integrating radiomics with clinical features further enhanced the stratification efficacy, suggesting complementary contributions from these feature types. These findings underscore the robustness of the models and the importance of combining clinical and radiomic data to improve survival prediction in NSCLC.</w:t>
      </w:r>
    </w:p>
    <w:p w:rsidR="00B618D5" w:rsidRPr="001B45BB" w:rsidRDefault="00B618D5" w:rsidP="00B618D5">
      <w:r w:rsidRPr="001B45BB">
        <w:rPr>
          <w:b/>
          <w:bCs/>
          <w:sz w:val="18"/>
          <w:szCs w:val="18"/>
        </w:rPr>
        <w:t xml:space="preserve">Fig </w:t>
      </w:r>
      <w:r>
        <w:rPr>
          <w:b/>
          <w:bCs/>
          <w:sz w:val="18"/>
          <w:szCs w:val="18"/>
        </w:rPr>
        <w:t>1</w:t>
      </w:r>
      <w:r w:rsidRPr="001B45BB">
        <w:rPr>
          <w:b/>
          <w:bCs/>
          <w:sz w:val="18"/>
          <w:szCs w:val="18"/>
        </w:rPr>
        <w:t>.</w:t>
      </w:r>
      <w:r>
        <w:rPr>
          <w:b/>
          <w:bCs/>
          <w:sz w:val="18"/>
          <w:szCs w:val="18"/>
        </w:rPr>
        <w:t xml:space="preserve"> </w:t>
      </w:r>
      <w:r w:rsidRPr="00B618D5">
        <w:rPr>
          <w:sz w:val="18"/>
          <w:szCs w:val="18"/>
        </w:rPr>
        <w:t>SHAP summary plots for the COX model. (a) Radiomics feature</w:t>
      </w:r>
      <w:r>
        <w:rPr>
          <w:sz w:val="18"/>
          <w:szCs w:val="18"/>
        </w:rPr>
        <w:t>s,</w:t>
      </w:r>
      <w:r w:rsidRPr="00B618D5">
        <w:rPr>
          <w:sz w:val="18"/>
          <w:szCs w:val="18"/>
        </w:rPr>
        <w:t xml:space="preserve"> (b) Clinical features highlighting the contributions of </w:t>
      </w:r>
      <w:r>
        <w:rPr>
          <w:sz w:val="18"/>
          <w:szCs w:val="18"/>
        </w:rPr>
        <w:t xml:space="preserve">individual </w:t>
      </w:r>
      <w:r w:rsidR="006346C3" w:rsidRPr="006346C3">
        <w:rPr>
          <w:sz w:val="18"/>
          <w:szCs w:val="18"/>
        </w:rPr>
        <w:t>predictors</w:t>
      </w:r>
      <w:r w:rsidRPr="00B618D5">
        <w:rPr>
          <w:sz w:val="18"/>
          <w:szCs w:val="18"/>
        </w:rPr>
        <w:t>.</w:t>
      </w:r>
    </w:p>
    <w:p w:rsidR="00720D87" w:rsidRDefault="00720D87" w:rsidP="006346C3">
      <w:pPr>
        <w:rPr>
          <w:b/>
          <w:bCs/>
        </w:rPr>
      </w:pPr>
    </w:p>
    <w:p w:rsidR="000056A9" w:rsidRDefault="006346C3" w:rsidP="000056A9">
      <w:pPr>
        <w:rPr>
          <w:b/>
          <w:bCs/>
        </w:rPr>
      </w:pPr>
      <w:r>
        <w:rPr>
          <w:b/>
          <w:bCs/>
        </w:rPr>
        <w:t>Discussion</w:t>
      </w:r>
    </w:p>
    <w:p w:rsidR="002F4B6F" w:rsidRDefault="002F4B6F" w:rsidP="000056A9">
      <w:pPr>
        <w:rPr>
          <w:rFonts w:hint="eastAsia"/>
          <w:b/>
          <w:bCs/>
        </w:rPr>
      </w:pPr>
    </w:p>
    <w:p w:rsidR="000056A9" w:rsidRDefault="000056A9" w:rsidP="000056A9">
      <w:pPr>
        <w:ind w:firstLineChars="200" w:firstLine="420"/>
      </w:pPr>
      <w:r>
        <w:t>The findings of this study highlight the utility of radiomics and machine learning in predicting overall survival for NSCLC patients. The COX model consistently demonstrated superior performance across all feature sets, particularly when incorporating radiomics features, which outperformed clinical features alone. This result underscores the added prognostic value of quantitative imaging biomarkers in survival prediction. Furthermore, combining radiomics with clinical features slightly improved model performance, emphasizing the complementary nature of these data types. Several key radiomics features, belong to Gray Level Co-occurrence Matrix category, emerged as significant predictors of survival. These findings align with previous studies that emphasize the prognostic value of texture-based radiomic features. These results confirm the ability of radiomics to capture tumor heterogeneity and provide quantitative insights that complement traditional clinical assessments.</w:t>
      </w:r>
    </w:p>
    <w:p w:rsidR="00252804" w:rsidRDefault="000056A9" w:rsidP="000056A9">
      <w:pPr>
        <w:ind w:firstLineChars="200" w:firstLine="420"/>
      </w:pPr>
      <w:r>
        <w:t xml:space="preserve">Kaplan-Meier survival analyses confirmed the efficacy of patient stratification based on risk scores generated by the models. The significant survival differences between high-risk and low-risk </w:t>
      </w:r>
      <w:r>
        <w:lastRenderedPageBreak/>
        <w:t xml:space="preserve">groups across all models validated their predictive capability. Radiomics features were particularly </w:t>
      </w:r>
    </w:p>
    <w:p w:rsidR="00252804" w:rsidRDefault="00252804" w:rsidP="000056A9">
      <w:pPr>
        <w:ind w:firstLineChars="200" w:firstLine="420"/>
      </w:pPr>
      <w:r>
        <w:rPr>
          <w:rFonts w:hint="eastAsia"/>
          <w:noProof/>
        </w:rPr>
        <w:drawing>
          <wp:anchor distT="0" distB="0" distL="114300" distR="114300" simplePos="0" relativeHeight="251658240" behindDoc="0" locked="0" layoutInCell="1" allowOverlap="1">
            <wp:simplePos x="0" y="0"/>
            <wp:positionH relativeFrom="column">
              <wp:posOffset>-635</wp:posOffset>
            </wp:positionH>
            <wp:positionV relativeFrom="paragraph">
              <wp:posOffset>33673</wp:posOffset>
            </wp:positionV>
            <wp:extent cx="5281930" cy="4343400"/>
            <wp:effectExtent l="0" t="0" r="1270" b="0"/>
            <wp:wrapSquare wrapText="bothSides"/>
            <wp:docPr id="18930698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9874" name="图片 2"/>
                    <pic:cNvPicPr/>
                  </pic:nvPicPr>
                  <pic:blipFill rotWithShape="1">
                    <a:blip r:embed="rId8" cstate="print">
                      <a:extLst>
                        <a:ext uri="{28A0092B-C50C-407E-A947-70E740481C1C}">
                          <a14:useLocalDpi xmlns:a14="http://schemas.microsoft.com/office/drawing/2010/main" val="0"/>
                        </a:ext>
                      </a:extLst>
                    </a:blip>
                    <a:srcRect l="19882" t="8243" r="23747" b="9338"/>
                    <a:stretch/>
                  </pic:blipFill>
                  <pic:spPr bwMode="auto">
                    <a:xfrm>
                      <a:off x="0" y="0"/>
                      <a:ext cx="5281930" cy="434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2804" w:rsidRPr="006346C3" w:rsidRDefault="00252804" w:rsidP="00252804">
      <w:pPr>
        <w:rPr>
          <w:b/>
          <w:bCs/>
          <w:sz w:val="18"/>
          <w:szCs w:val="18"/>
        </w:rPr>
      </w:pPr>
      <w:r w:rsidRPr="001B45BB">
        <w:rPr>
          <w:b/>
          <w:bCs/>
          <w:sz w:val="18"/>
          <w:szCs w:val="18"/>
        </w:rPr>
        <w:t xml:space="preserve">Fig </w:t>
      </w:r>
      <w:r>
        <w:rPr>
          <w:b/>
          <w:bCs/>
          <w:sz w:val="18"/>
          <w:szCs w:val="18"/>
        </w:rPr>
        <w:t>2</w:t>
      </w:r>
      <w:r w:rsidRPr="001B45BB">
        <w:rPr>
          <w:b/>
          <w:bCs/>
          <w:sz w:val="18"/>
          <w:szCs w:val="18"/>
        </w:rPr>
        <w:t xml:space="preserve">. </w:t>
      </w:r>
      <w:r w:rsidRPr="00EB7CB6">
        <w:rPr>
          <w:sz w:val="18"/>
          <w:szCs w:val="18"/>
        </w:rPr>
        <w:t>Kaplan–Meier survival curves for high-risk and low-risk patient groups stratified by risk scores predicted by machine learning models. The models were applied to clinical features, radiomics features, and mixed features for overall survival prediction. Log-rank tests were used to compare group survival, with p-values shown in each plot to indicate statistical significance.</w:t>
      </w:r>
    </w:p>
    <w:p w:rsidR="00252804" w:rsidRPr="00252804" w:rsidRDefault="00252804" w:rsidP="000056A9">
      <w:pPr>
        <w:ind w:firstLineChars="200" w:firstLine="420"/>
      </w:pPr>
    </w:p>
    <w:p w:rsidR="00252804" w:rsidRDefault="00252804" w:rsidP="000056A9">
      <w:pPr>
        <w:ind w:firstLineChars="200" w:firstLine="420"/>
      </w:pPr>
    </w:p>
    <w:p w:rsidR="000056A9" w:rsidRDefault="000056A9" w:rsidP="00252804">
      <w:r>
        <w:t>effective in stratifying patients, reaffirming their role as valuable prognostic tools in NSCLC. However, only two sub groups are divided by the risk score and all model shows significant difference. Exploring additional stratification groups based on more nuanced risk scores could potentially improve the precision of prognosis and identify subpopulations with distinct survival outcomes, offering opportunities for more personalized treatment strategies.</w:t>
      </w:r>
    </w:p>
    <w:p w:rsidR="001B45BB" w:rsidRPr="000056A9" w:rsidRDefault="000056A9" w:rsidP="000056A9">
      <w:pPr>
        <w:ind w:firstLineChars="200" w:firstLine="420"/>
      </w:pPr>
      <w:r>
        <w:t xml:space="preserve">Despite these promising findings, there are limitations to this study. The reliance on radiomics features alone may lead to the loss of valuable information inherent in raw CT scans. Advanced image-based deep learning approaches, such as convolutional neural networks (CNNs) and </w:t>
      </w:r>
      <w:r w:rsidR="0023400C">
        <w:t>i</w:t>
      </w:r>
      <w:r>
        <w:t xml:space="preserve">mage </w:t>
      </w:r>
      <w:r w:rsidR="0023400C">
        <w:t>t</w:t>
      </w:r>
      <w:r>
        <w:t>ransformers, could be explored to directly extract features from raw CT images. These methods have the potential to capture spatial and contextual information more comprehensively than traditional radiomics, enabling a more holistic representation of tumor characteristics. These methods, combined with traditional radiomics features, hold the potential to further enhance survival prediction by capturing richer, multidimensional information.</w:t>
      </w:r>
      <w:r>
        <w:rPr>
          <w:rFonts w:hint="eastAsia"/>
        </w:rPr>
        <w:t xml:space="preserve"> </w:t>
      </w:r>
      <w:r>
        <w:t xml:space="preserve">Future work should focus on integrating deep learning-based feature extraction with traditional radiomics to fully exploit the </w:t>
      </w:r>
      <w:r>
        <w:lastRenderedPageBreak/>
        <w:t>wealth of information embedded in medical imaging. Additionally, external validation on independent datasets will be essential to confirm the generalizability of the findings. This combined approach could pave the way for more accurate and clinically meaningful survival models in NSCLC.</w:t>
      </w:r>
    </w:p>
    <w:p w:rsidR="001B45BB" w:rsidRDefault="001B45BB" w:rsidP="001B45BB"/>
    <w:p w:rsidR="00A70CC1" w:rsidRPr="00A70CC1" w:rsidRDefault="00A70CC1" w:rsidP="00A70CC1">
      <w:pPr>
        <w:rPr>
          <w:b/>
          <w:bCs/>
        </w:rPr>
      </w:pPr>
      <w:r w:rsidRPr="00A70CC1">
        <w:rPr>
          <w:b/>
          <w:bCs/>
        </w:rPr>
        <w:t>Conclusion</w:t>
      </w:r>
    </w:p>
    <w:p w:rsidR="00A70CC1" w:rsidRDefault="00A70CC1" w:rsidP="00A70CC1"/>
    <w:p w:rsidR="00D27A77" w:rsidRPr="00A70CC1" w:rsidRDefault="00A70CC1" w:rsidP="00A70CC1">
      <w:pPr>
        <w:ind w:firstLineChars="200" w:firstLine="420"/>
        <w:rPr>
          <w:rFonts w:hint="eastAsia"/>
        </w:rPr>
      </w:pPr>
      <w:r>
        <w:t>This study highlights the potential of non-invasive radiomic features derived from CT-scan with machine learning models for improving overall survival prediction in NSCLC patients. The COX model demonstrated superior performance, particularly when leveraging radiomics features, which excelled in capturing tumor heterogeneity. Kaplan-Meier analyses further validated the models' ability to stratify patients into prognostic groups, emphasizing the complementary contributions of clinical and radiomic data. Future research should focus on integrating deep learning techniques with radiomics to fully utilize CT imaging data and enhance predictive accuracy.</w:t>
      </w:r>
    </w:p>
    <w:p w:rsidR="001B45BB" w:rsidRPr="001B45BB" w:rsidRDefault="001B45BB" w:rsidP="001B45BB"/>
    <w:p w:rsidR="001B45BB" w:rsidRPr="001B45BB" w:rsidRDefault="001B45BB" w:rsidP="001B45BB"/>
    <w:p w:rsidR="006346C3" w:rsidRDefault="006346C3" w:rsidP="001B45BB">
      <w:pPr>
        <w:rPr>
          <w:b/>
          <w:bCs/>
          <w:sz w:val="18"/>
          <w:szCs w:val="18"/>
        </w:rPr>
      </w:pPr>
    </w:p>
    <w:p w:rsidR="006346C3" w:rsidRDefault="006346C3" w:rsidP="001B45BB">
      <w:pPr>
        <w:rPr>
          <w:b/>
          <w:bCs/>
          <w:sz w:val="18"/>
          <w:szCs w:val="18"/>
        </w:rPr>
      </w:pPr>
    </w:p>
    <w:p w:rsidR="006346C3" w:rsidRDefault="006346C3" w:rsidP="001B45BB">
      <w:pPr>
        <w:rPr>
          <w:b/>
          <w:bCs/>
          <w:sz w:val="18"/>
          <w:szCs w:val="18"/>
        </w:rPr>
      </w:pPr>
    </w:p>
    <w:p w:rsidR="006346C3" w:rsidRDefault="006346C3" w:rsidP="001B45BB">
      <w:pPr>
        <w:rPr>
          <w:b/>
          <w:bCs/>
          <w:sz w:val="18"/>
          <w:szCs w:val="18"/>
        </w:rPr>
      </w:pPr>
    </w:p>
    <w:p w:rsidR="006346C3" w:rsidRDefault="006346C3" w:rsidP="001B45BB">
      <w:pPr>
        <w:rPr>
          <w:b/>
          <w:bCs/>
          <w:sz w:val="18"/>
          <w:szCs w:val="18"/>
        </w:rPr>
      </w:pPr>
    </w:p>
    <w:p w:rsidR="006346C3" w:rsidRDefault="006346C3" w:rsidP="001B45BB">
      <w:pPr>
        <w:rPr>
          <w:b/>
          <w:bCs/>
          <w:sz w:val="18"/>
          <w:szCs w:val="18"/>
        </w:rPr>
      </w:pPr>
    </w:p>
    <w:p w:rsidR="006346C3" w:rsidRDefault="006346C3" w:rsidP="001B45BB">
      <w:pPr>
        <w:rPr>
          <w:b/>
          <w:bCs/>
          <w:sz w:val="18"/>
          <w:szCs w:val="18"/>
        </w:rPr>
      </w:pPr>
    </w:p>
    <w:p w:rsidR="006346C3" w:rsidRDefault="006346C3" w:rsidP="001B45BB">
      <w:pPr>
        <w:rPr>
          <w:b/>
          <w:bCs/>
          <w:sz w:val="18"/>
          <w:szCs w:val="18"/>
        </w:rPr>
      </w:pPr>
    </w:p>
    <w:p w:rsidR="006346C3" w:rsidRDefault="006346C3" w:rsidP="001B45BB">
      <w:pPr>
        <w:rPr>
          <w:b/>
          <w:bCs/>
          <w:sz w:val="18"/>
          <w:szCs w:val="18"/>
        </w:rPr>
      </w:pPr>
    </w:p>
    <w:p w:rsidR="006346C3" w:rsidRDefault="006346C3" w:rsidP="001B45BB">
      <w:pPr>
        <w:rPr>
          <w:b/>
          <w:bCs/>
          <w:sz w:val="18"/>
          <w:szCs w:val="18"/>
        </w:rPr>
      </w:pPr>
    </w:p>
    <w:p w:rsidR="001B45BB" w:rsidRPr="001B45BB" w:rsidRDefault="001B45BB" w:rsidP="001B45BB"/>
    <w:p w:rsidR="001B45BB" w:rsidRPr="001B45BB" w:rsidRDefault="001B45BB" w:rsidP="001B45BB"/>
    <w:p w:rsidR="001B45BB" w:rsidRPr="001B45BB" w:rsidRDefault="001B45BB" w:rsidP="001B45BB"/>
    <w:p w:rsidR="001B45BB" w:rsidRPr="001B45BB" w:rsidRDefault="001B45BB" w:rsidP="001B45BB"/>
    <w:p w:rsidR="001B45BB" w:rsidRPr="001B45BB" w:rsidRDefault="001B45BB" w:rsidP="001B45BB"/>
    <w:p w:rsidR="001B45BB" w:rsidRPr="001B45BB" w:rsidRDefault="001B45BB" w:rsidP="001B45BB"/>
    <w:p w:rsidR="001B45BB" w:rsidRPr="001B45BB" w:rsidRDefault="001B45BB" w:rsidP="001B45BB"/>
    <w:p w:rsidR="001B45BB" w:rsidRPr="001B45BB" w:rsidRDefault="001B45BB" w:rsidP="001B45BB"/>
    <w:p w:rsidR="001B45BB" w:rsidRPr="001B45BB" w:rsidRDefault="001B45BB" w:rsidP="001B45BB"/>
    <w:p w:rsidR="001B45BB" w:rsidRPr="001B45BB" w:rsidRDefault="001B45BB" w:rsidP="001B45BB"/>
    <w:p w:rsidR="001B45BB" w:rsidRPr="001B45BB" w:rsidRDefault="001B45BB" w:rsidP="001B45BB"/>
    <w:p w:rsidR="001B45BB" w:rsidRPr="001B45BB" w:rsidRDefault="001B45BB" w:rsidP="001B45BB"/>
    <w:p w:rsidR="001B45BB" w:rsidRPr="001B45BB" w:rsidRDefault="001B45BB" w:rsidP="001B45BB"/>
    <w:p w:rsidR="002E1C0B" w:rsidRPr="001B45BB" w:rsidRDefault="002E1C0B" w:rsidP="002E1C0B">
      <w:pPr>
        <w:rPr>
          <w:rFonts w:hint="eastAsia"/>
          <w:sz w:val="18"/>
          <w:szCs w:val="18"/>
        </w:rPr>
      </w:pPr>
    </w:p>
    <w:p w:rsidR="001B45BB" w:rsidRPr="002E1C0B" w:rsidRDefault="001B45BB" w:rsidP="001B45BB"/>
    <w:sectPr w:rsidR="001B45BB" w:rsidRPr="002E1C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40CE4" w:rsidRDefault="00C40CE4" w:rsidP="00D34F1B">
      <w:r>
        <w:separator/>
      </w:r>
    </w:p>
  </w:endnote>
  <w:endnote w:type="continuationSeparator" w:id="0">
    <w:p w:rsidR="00C40CE4" w:rsidRDefault="00C40CE4" w:rsidP="00D34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简">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40CE4" w:rsidRDefault="00C40CE4" w:rsidP="00D34F1B">
      <w:r>
        <w:separator/>
      </w:r>
    </w:p>
  </w:footnote>
  <w:footnote w:type="continuationSeparator" w:id="0">
    <w:p w:rsidR="00C40CE4" w:rsidRDefault="00C40CE4" w:rsidP="00D34F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353E6"/>
    <w:multiLevelType w:val="hybridMultilevel"/>
    <w:tmpl w:val="BF1E53E6"/>
    <w:lvl w:ilvl="0" w:tplc="569AD44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56B23E20"/>
    <w:multiLevelType w:val="hybridMultilevel"/>
    <w:tmpl w:val="B28ADFE2"/>
    <w:lvl w:ilvl="0" w:tplc="842AD7E8">
      <w:start w:val="1"/>
      <w:numFmt w:val="bullet"/>
      <w:lvlText w:val=""/>
      <w:lvlJc w:val="left"/>
      <w:pPr>
        <w:ind w:left="440" w:hanging="440"/>
      </w:pPr>
      <w:rPr>
        <w:rFonts w:ascii="Wingdings" w:hAnsi="Wingdings" w:hint="default"/>
        <w:sz w:val="10"/>
        <w:szCs w:val="10"/>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5D000BFE"/>
    <w:multiLevelType w:val="hybridMultilevel"/>
    <w:tmpl w:val="FBB62B22"/>
    <w:lvl w:ilvl="0" w:tplc="04090001">
      <w:start w:val="1"/>
      <w:numFmt w:val="bullet"/>
      <w:lvlText w:val=""/>
      <w:lvlJc w:val="left"/>
      <w:pPr>
        <w:ind w:left="860" w:hanging="440"/>
      </w:pPr>
      <w:rPr>
        <w:rFonts w:ascii="Wingdings" w:hAnsi="Wingding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 w15:restartNumberingAfterBreak="0">
    <w:nsid w:val="6CAB1EB6"/>
    <w:multiLevelType w:val="hybridMultilevel"/>
    <w:tmpl w:val="CC1CF2A0"/>
    <w:lvl w:ilvl="0" w:tplc="04090001">
      <w:start w:val="1"/>
      <w:numFmt w:val="bullet"/>
      <w:lvlText w:val=""/>
      <w:lvlJc w:val="left"/>
      <w:pPr>
        <w:ind w:left="860" w:hanging="440"/>
      </w:pPr>
      <w:rPr>
        <w:rFonts w:ascii="Wingdings" w:hAnsi="Wingding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num w:numId="1" w16cid:durableId="717246460">
    <w:abstractNumId w:val="0"/>
  </w:num>
  <w:num w:numId="2" w16cid:durableId="1043483639">
    <w:abstractNumId w:val="2"/>
  </w:num>
  <w:num w:numId="3" w16cid:durableId="1959264514">
    <w:abstractNumId w:val="3"/>
  </w:num>
  <w:num w:numId="4" w16cid:durableId="517697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A29"/>
    <w:rsid w:val="000056A9"/>
    <w:rsid w:val="000E141D"/>
    <w:rsid w:val="001264E8"/>
    <w:rsid w:val="00135B46"/>
    <w:rsid w:val="001458B5"/>
    <w:rsid w:val="001B45BB"/>
    <w:rsid w:val="001B6639"/>
    <w:rsid w:val="001C2CDE"/>
    <w:rsid w:val="0023400C"/>
    <w:rsid w:val="00252804"/>
    <w:rsid w:val="002D2C8A"/>
    <w:rsid w:val="002E1C0B"/>
    <w:rsid w:val="002F4B6F"/>
    <w:rsid w:val="003613AD"/>
    <w:rsid w:val="00375541"/>
    <w:rsid w:val="003B651D"/>
    <w:rsid w:val="003D3B22"/>
    <w:rsid w:val="003E1E99"/>
    <w:rsid w:val="003F6AE2"/>
    <w:rsid w:val="004143B4"/>
    <w:rsid w:val="0044672D"/>
    <w:rsid w:val="005B559D"/>
    <w:rsid w:val="0063334C"/>
    <w:rsid w:val="006346C3"/>
    <w:rsid w:val="00676EBB"/>
    <w:rsid w:val="007062B1"/>
    <w:rsid w:val="00720D87"/>
    <w:rsid w:val="00721A98"/>
    <w:rsid w:val="00762114"/>
    <w:rsid w:val="00783DF7"/>
    <w:rsid w:val="007851F1"/>
    <w:rsid w:val="00880F6B"/>
    <w:rsid w:val="00882EAF"/>
    <w:rsid w:val="008A76E1"/>
    <w:rsid w:val="008D2BE8"/>
    <w:rsid w:val="009974EB"/>
    <w:rsid w:val="00A600CD"/>
    <w:rsid w:val="00A70CC1"/>
    <w:rsid w:val="00AC2565"/>
    <w:rsid w:val="00B41047"/>
    <w:rsid w:val="00B44A8E"/>
    <w:rsid w:val="00B618D5"/>
    <w:rsid w:val="00B82D70"/>
    <w:rsid w:val="00B95E78"/>
    <w:rsid w:val="00BA5BF9"/>
    <w:rsid w:val="00BD7D91"/>
    <w:rsid w:val="00C40CE4"/>
    <w:rsid w:val="00C97A29"/>
    <w:rsid w:val="00CC383D"/>
    <w:rsid w:val="00D27A77"/>
    <w:rsid w:val="00D34F1B"/>
    <w:rsid w:val="00D417C4"/>
    <w:rsid w:val="00D56B9F"/>
    <w:rsid w:val="00DB1300"/>
    <w:rsid w:val="00E60E2E"/>
    <w:rsid w:val="00E821D9"/>
    <w:rsid w:val="00E871EA"/>
    <w:rsid w:val="00EB7CB6"/>
    <w:rsid w:val="00F709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A5F75"/>
  <w15:chartTrackingRefBased/>
  <w15:docId w15:val="{D84DE152-83E6-DB48-A699-AC052C8C4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简" w:hAnsi="Times New Roman" w:cs="Times New Roman"/>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97A2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C97A2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C97A2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C97A29"/>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C97A29"/>
    <w:pPr>
      <w:keepNext/>
      <w:keepLines/>
      <w:spacing w:before="80" w:after="40"/>
      <w:outlineLvl w:val="4"/>
    </w:pPr>
    <w:rPr>
      <w:rFonts w:asciiTheme="minorHAnsi" w:eastAsiaTheme="minorEastAsia" w:hAnsiTheme="minorHAnsi" w:cstheme="majorBidi"/>
      <w:color w:val="0F4761" w:themeColor="accent1" w:themeShade="BF"/>
      <w:sz w:val="24"/>
      <w:szCs w:val="24"/>
    </w:rPr>
  </w:style>
  <w:style w:type="paragraph" w:styleId="6">
    <w:name w:val="heading 6"/>
    <w:basedOn w:val="a"/>
    <w:next w:val="a"/>
    <w:link w:val="60"/>
    <w:uiPriority w:val="9"/>
    <w:semiHidden/>
    <w:unhideWhenUsed/>
    <w:qFormat/>
    <w:rsid w:val="00C97A29"/>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C97A29"/>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C97A29"/>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C97A29"/>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97A2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C97A2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C97A2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C97A29"/>
    <w:rPr>
      <w:rFonts w:asciiTheme="minorHAnsi" w:eastAsiaTheme="minorEastAsia" w:hAnsiTheme="minorHAnsi" w:cstheme="majorBidi"/>
      <w:color w:val="0F4761" w:themeColor="accent1" w:themeShade="BF"/>
      <w:sz w:val="28"/>
      <w:szCs w:val="28"/>
    </w:rPr>
  </w:style>
  <w:style w:type="character" w:customStyle="1" w:styleId="50">
    <w:name w:val="标题 5 字符"/>
    <w:basedOn w:val="a0"/>
    <w:link w:val="5"/>
    <w:uiPriority w:val="9"/>
    <w:semiHidden/>
    <w:rsid w:val="00C97A29"/>
    <w:rPr>
      <w:rFonts w:asciiTheme="minorHAnsi" w:eastAsiaTheme="minorEastAsia" w:hAnsiTheme="minorHAnsi" w:cstheme="majorBidi"/>
      <w:color w:val="0F4761" w:themeColor="accent1" w:themeShade="BF"/>
      <w:sz w:val="24"/>
      <w:szCs w:val="24"/>
    </w:rPr>
  </w:style>
  <w:style w:type="character" w:customStyle="1" w:styleId="60">
    <w:name w:val="标题 6 字符"/>
    <w:basedOn w:val="a0"/>
    <w:link w:val="6"/>
    <w:uiPriority w:val="9"/>
    <w:semiHidden/>
    <w:rsid w:val="00C97A29"/>
    <w:rPr>
      <w:rFonts w:asciiTheme="minorHAnsi" w:eastAsiaTheme="minorEastAsia" w:hAnsiTheme="minorHAnsi" w:cstheme="majorBidi"/>
      <w:b/>
      <w:bCs/>
      <w:color w:val="0F4761" w:themeColor="accent1" w:themeShade="BF"/>
    </w:rPr>
  </w:style>
  <w:style w:type="character" w:customStyle="1" w:styleId="70">
    <w:name w:val="标题 7 字符"/>
    <w:basedOn w:val="a0"/>
    <w:link w:val="7"/>
    <w:uiPriority w:val="9"/>
    <w:semiHidden/>
    <w:rsid w:val="00C97A29"/>
    <w:rPr>
      <w:rFonts w:asciiTheme="minorHAnsi" w:eastAsiaTheme="minorEastAsia" w:hAnsiTheme="minorHAnsi" w:cstheme="majorBidi"/>
      <w:b/>
      <w:bCs/>
      <w:color w:val="595959" w:themeColor="text1" w:themeTint="A6"/>
    </w:rPr>
  </w:style>
  <w:style w:type="character" w:customStyle="1" w:styleId="80">
    <w:name w:val="标题 8 字符"/>
    <w:basedOn w:val="a0"/>
    <w:link w:val="8"/>
    <w:uiPriority w:val="9"/>
    <w:semiHidden/>
    <w:rsid w:val="00C97A29"/>
    <w:rPr>
      <w:rFonts w:asciiTheme="minorHAnsi" w:eastAsiaTheme="minorEastAsia" w:hAnsiTheme="minorHAnsi" w:cstheme="majorBidi"/>
      <w:color w:val="595959" w:themeColor="text1" w:themeTint="A6"/>
    </w:rPr>
  </w:style>
  <w:style w:type="character" w:customStyle="1" w:styleId="90">
    <w:name w:val="标题 9 字符"/>
    <w:basedOn w:val="a0"/>
    <w:link w:val="9"/>
    <w:uiPriority w:val="9"/>
    <w:semiHidden/>
    <w:rsid w:val="00C97A29"/>
    <w:rPr>
      <w:rFonts w:asciiTheme="minorHAnsi" w:eastAsiaTheme="majorEastAsia" w:hAnsiTheme="minorHAnsi" w:cstheme="majorBidi"/>
      <w:color w:val="595959" w:themeColor="text1" w:themeTint="A6"/>
    </w:rPr>
  </w:style>
  <w:style w:type="paragraph" w:styleId="a3">
    <w:name w:val="Title"/>
    <w:basedOn w:val="a"/>
    <w:next w:val="a"/>
    <w:link w:val="a4"/>
    <w:uiPriority w:val="10"/>
    <w:qFormat/>
    <w:rsid w:val="00C97A2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C97A2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97A2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C97A2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97A29"/>
    <w:pPr>
      <w:spacing w:before="160" w:after="160"/>
      <w:jc w:val="center"/>
    </w:pPr>
    <w:rPr>
      <w:i/>
      <w:iCs/>
      <w:color w:val="404040" w:themeColor="text1" w:themeTint="BF"/>
    </w:rPr>
  </w:style>
  <w:style w:type="character" w:customStyle="1" w:styleId="a8">
    <w:name w:val="引用 字符"/>
    <w:basedOn w:val="a0"/>
    <w:link w:val="a7"/>
    <w:uiPriority w:val="29"/>
    <w:rsid w:val="00C97A29"/>
    <w:rPr>
      <w:i/>
      <w:iCs/>
      <w:color w:val="404040" w:themeColor="text1" w:themeTint="BF"/>
    </w:rPr>
  </w:style>
  <w:style w:type="paragraph" w:styleId="a9">
    <w:name w:val="List Paragraph"/>
    <w:basedOn w:val="a"/>
    <w:uiPriority w:val="34"/>
    <w:qFormat/>
    <w:rsid w:val="00C97A29"/>
    <w:pPr>
      <w:ind w:left="720"/>
      <w:contextualSpacing/>
    </w:pPr>
  </w:style>
  <w:style w:type="character" w:styleId="aa">
    <w:name w:val="Intense Emphasis"/>
    <w:basedOn w:val="a0"/>
    <w:uiPriority w:val="21"/>
    <w:qFormat/>
    <w:rsid w:val="00C97A29"/>
    <w:rPr>
      <w:i/>
      <w:iCs/>
      <w:color w:val="0F4761" w:themeColor="accent1" w:themeShade="BF"/>
    </w:rPr>
  </w:style>
  <w:style w:type="paragraph" w:styleId="ab">
    <w:name w:val="Intense Quote"/>
    <w:basedOn w:val="a"/>
    <w:next w:val="a"/>
    <w:link w:val="ac"/>
    <w:uiPriority w:val="30"/>
    <w:qFormat/>
    <w:rsid w:val="00C97A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C97A29"/>
    <w:rPr>
      <w:i/>
      <w:iCs/>
      <w:color w:val="0F4761" w:themeColor="accent1" w:themeShade="BF"/>
    </w:rPr>
  </w:style>
  <w:style w:type="character" w:styleId="ad">
    <w:name w:val="Intense Reference"/>
    <w:basedOn w:val="a0"/>
    <w:uiPriority w:val="32"/>
    <w:qFormat/>
    <w:rsid w:val="00C97A29"/>
    <w:rPr>
      <w:b/>
      <w:bCs/>
      <w:smallCaps/>
      <w:color w:val="0F4761" w:themeColor="accent1" w:themeShade="BF"/>
      <w:spacing w:val="5"/>
    </w:rPr>
  </w:style>
  <w:style w:type="character" w:customStyle="1" w:styleId="ml-1">
    <w:name w:val="ml-1"/>
    <w:basedOn w:val="a0"/>
    <w:rsid w:val="00C97A29"/>
  </w:style>
  <w:style w:type="paragraph" w:styleId="ae">
    <w:name w:val="header"/>
    <w:basedOn w:val="a"/>
    <w:link w:val="af"/>
    <w:uiPriority w:val="99"/>
    <w:unhideWhenUsed/>
    <w:rsid w:val="00D34F1B"/>
    <w:pPr>
      <w:tabs>
        <w:tab w:val="center" w:pos="4153"/>
        <w:tab w:val="right" w:pos="8306"/>
      </w:tabs>
      <w:snapToGrid w:val="0"/>
      <w:jc w:val="center"/>
    </w:pPr>
    <w:rPr>
      <w:sz w:val="18"/>
      <w:szCs w:val="18"/>
    </w:rPr>
  </w:style>
  <w:style w:type="character" w:customStyle="1" w:styleId="af">
    <w:name w:val="页眉 字符"/>
    <w:basedOn w:val="a0"/>
    <w:link w:val="ae"/>
    <w:uiPriority w:val="99"/>
    <w:rsid w:val="00D34F1B"/>
    <w:rPr>
      <w:sz w:val="18"/>
      <w:szCs w:val="18"/>
    </w:rPr>
  </w:style>
  <w:style w:type="paragraph" w:styleId="af0">
    <w:name w:val="footer"/>
    <w:basedOn w:val="a"/>
    <w:link w:val="af1"/>
    <w:uiPriority w:val="99"/>
    <w:unhideWhenUsed/>
    <w:rsid w:val="00D34F1B"/>
    <w:pPr>
      <w:tabs>
        <w:tab w:val="center" w:pos="4153"/>
        <w:tab w:val="right" w:pos="8306"/>
      </w:tabs>
      <w:snapToGrid w:val="0"/>
      <w:jc w:val="left"/>
    </w:pPr>
    <w:rPr>
      <w:sz w:val="18"/>
      <w:szCs w:val="18"/>
    </w:rPr>
  </w:style>
  <w:style w:type="character" w:customStyle="1" w:styleId="af1">
    <w:name w:val="页脚 字符"/>
    <w:basedOn w:val="a0"/>
    <w:link w:val="af0"/>
    <w:uiPriority w:val="99"/>
    <w:rsid w:val="00D34F1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15648">
      <w:bodyDiv w:val="1"/>
      <w:marLeft w:val="0"/>
      <w:marRight w:val="0"/>
      <w:marTop w:val="0"/>
      <w:marBottom w:val="0"/>
      <w:divBdr>
        <w:top w:val="none" w:sz="0" w:space="0" w:color="auto"/>
        <w:left w:val="none" w:sz="0" w:space="0" w:color="auto"/>
        <w:bottom w:val="none" w:sz="0" w:space="0" w:color="auto"/>
        <w:right w:val="none" w:sz="0" w:space="0" w:color="auto"/>
      </w:divBdr>
    </w:div>
    <w:div w:id="101606890">
      <w:bodyDiv w:val="1"/>
      <w:marLeft w:val="0"/>
      <w:marRight w:val="0"/>
      <w:marTop w:val="0"/>
      <w:marBottom w:val="0"/>
      <w:divBdr>
        <w:top w:val="none" w:sz="0" w:space="0" w:color="auto"/>
        <w:left w:val="none" w:sz="0" w:space="0" w:color="auto"/>
        <w:bottom w:val="none" w:sz="0" w:space="0" w:color="auto"/>
        <w:right w:val="none" w:sz="0" w:space="0" w:color="auto"/>
      </w:divBdr>
    </w:div>
    <w:div w:id="102111808">
      <w:bodyDiv w:val="1"/>
      <w:marLeft w:val="0"/>
      <w:marRight w:val="0"/>
      <w:marTop w:val="0"/>
      <w:marBottom w:val="0"/>
      <w:divBdr>
        <w:top w:val="none" w:sz="0" w:space="0" w:color="auto"/>
        <w:left w:val="none" w:sz="0" w:space="0" w:color="auto"/>
        <w:bottom w:val="none" w:sz="0" w:space="0" w:color="auto"/>
        <w:right w:val="none" w:sz="0" w:space="0" w:color="auto"/>
      </w:divBdr>
    </w:div>
    <w:div w:id="109324147">
      <w:bodyDiv w:val="1"/>
      <w:marLeft w:val="0"/>
      <w:marRight w:val="0"/>
      <w:marTop w:val="0"/>
      <w:marBottom w:val="0"/>
      <w:divBdr>
        <w:top w:val="none" w:sz="0" w:space="0" w:color="auto"/>
        <w:left w:val="none" w:sz="0" w:space="0" w:color="auto"/>
        <w:bottom w:val="none" w:sz="0" w:space="0" w:color="auto"/>
        <w:right w:val="none" w:sz="0" w:space="0" w:color="auto"/>
      </w:divBdr>
    </w:div>
    <w:div w:id="180432945">
      <w:bodyDiv w:val="1"/>
      <w:marLeft w:val="0"/>
      <w:marRight w:val="0"/>
      <w:marTop w:val="0"/>
      <w:marBottom w:val="0"/>
      <w:divBdr>
        <w:top w:val="none" w:sz="0" w:space="0" w:color="auto"/>
        <w:left w:val="none" w:sz="0" w:space="0" w:color="auto"/>
        <w:bottom w:val="none" w:sz="0" w:space="0" w:color="auto"/>
        <w:right w:val="none" w:sz="0" w:space="0" w:color="auto"/>
      </w:divBdr>
    </w:div>
    <w:div w:id="284431868">
      <w:bodyDiv w:val="1"/>
      <w:marLeft w:val="0"/>
      <w:marRight w:val="0"/>
      <w:marTop w:val="0"/>
      <w:marBottom w:val="0"/>
      <w:divBdr>
        <w:top w:val="none" w:sz="0" w:space="0" w:color="auto"/>
        <w:left w:val="none" w:sz="0" w:space="0" w:color="auto"/>
        <w:bottom w:val="none" w:sz="0" w:space="0" w:color="auto"/>
        <w:right w:val="none" w:sz="0" w:space="0" w:color="auto"/>
      </w:divBdr>
    </w:div>
    <w:div w:id="309332611">
      <w:bodyDiv w:val="1"/>
      <w:marLeft w:val="0"/>
      <w:marRight w:val="0"/>
      <w:marTop w:val="0"/>
      <w:marBottom w:val="0"/>
      <w:divBdr>
        <w:top w:val="none" w:sz="0" w:space="0" w:color="auto"/>
        <w:left w:val="none" w:sz="0" w:space="0" w:color="auto"/>
        <w:bottom w:val="none" w:sz="0" w:space="0" w:color="auto"/>
        <w:right w:val="none" w:sz="0" w:space="0" w:color="auto"/>
      </w:divBdr>
    </w:div>
    <w:div w:id="338823485">
      <w:bodyDiv w:val="1"/>
      <w:marLeft w:val="0"/>
      <w:marRight w:val="0"/>
      <w:marTop w:val="0"/>
      <w:marBottom w:val="0"/>
      <w:divBdr>
        <w:top w:val="none" w:sz="0" w:space="0" w:color="auto"/>
        <w:left w:val="none" w:sz="0" w:space="0" w:color="auto"/>
        <w:bottom w:val="none" w:sz="0" w:space="0" w:color="auto"/>
        <w:right w:val="none" w:sz="0" w:space="0" w:color="auto"/>
      </w:divBdr>
      <w:divsChild>
        <w:div w:id="1388605065">
          <w:marLeft w:val="0"/>
          <w:marRight w:val="0"/>
          <w:marTop w:val="0"/>
          <w:marBottom w:val="0"/>
          <w:divBdr>
            <w:top w:val="none" w:sz="0" w:space="0" w:color="auto"/>
            <w:left w:val="none" w:sz="0" w:space="0" w:color="auto"/>
            <w:bottom w:val="none" w:sz="0" w:space="0" w:color="auto"/>
            <w:right w:val="none" w:sz="0" w:space="0" w:color="auto"/>
          </w:divBdr>
          <w:divsChild>
            <w:div w:id="596331491">
              <w:marLeft w:val="0"/>
              <w:marRight w:val="0"/>
              <w:marTop w:val="0"/>
              <w:marBottom w:val="0"/>
              <w:divBdr>
                <w:top w:val="none" w:sz="0" w:space="0" w:color="auto"/>
                <w:left w:val="none" w:sz="0" w:space="0" w:color="auto"/>
                <w:bottom w:val="none" w:sz="0" w:space="0" w:color="auto"/>
                <w:right w:val="none" w:sz="0" w:space="0" w:color="auto"/>
              </w:divBdr>
              <w:divsChild>
                <w:div w:id="1245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766254">
      <w:bodyDiv w:val="1"/>
      <w:marLeft w:val="0"/>
      <w:marRight w:val="0"/>
      <w:marTop w:val="0"/>
      <w:marBottom w:val="0"/>
      <w:divBdr>
        <w:top w:val="none" w:sz="0" w:space="0" w:color="auto"/>
        <w:left w:val="none" w:sz="0" w:space="0" w:color="auto"/>
        <w:bottom w:val="none" w:sz="0" w:space="0" w:color="auto"/>
        <w:right w:val="none" w:sz="0" w:space="0" w:color="auto"/>
      </w:divBdr>
    </w:div>
    <w:div w:id="368795747">
      <w:bodyDiv w:val="1"/>
      <w:marLeft w:val="0"/>
      <w:marRight w:val="0"/>
      <w:marTop w:val="0"/>
      <w:marBottom w:val="0"/>
      <w:divBdr>
        <w:top w:val="none" w:sz="0" w:space="0" w:color="auto"/>
        <w:left w:val="none" w:sz="0" w:space="0" w:color="auto"/>
        <w:bottom w:val="none" w:sz="0" w:space="0" w:color="auto"/>
        <w:right w:val="none" w:sz="0" w:space="0" w:color="auto"/>
      </w:divBdr>
    </w:div>
    <w:div w:id="412748117">
      <w:bodyDiv w:val="1"/>
      <w:marLeft w:val="0"/>
      <w:marRight w:val="0"/>
      <w:marTop w:val="0"/>
      <w:marBottom w:val="0"/>
      <w:divBdr>
        <w:top w:val="none" w:sz="0" w:space="0" w:color="auto"/>
        <w:left w:val="none" w:sz="0" w:space="0" w:color="auto"/>
        <w:bottom w:val="none" w:sz="0" w:space="0" w:color="auto"/>
        <w:right w:val="none" w:sz="0" w:space="0" w:color="auto"/>
      </w:divBdr>
    </w:div>
    <w:div w:id="438837304">
      <w:bodyDiv w:val="1"/>
      <w:marLeft w:val="0"/>
      <w:marRight w:val="0"/>
      <w:marTop w:val="0"/>
      <w:marBottom w:val="0"/>
      <w:divBdr>
        <w:top w:val="none" w:sz="0" w:space="0" w:color="auto"/>
        <w:left w:val="none" w:sz="0" w:space="0" w:color="auto"/>
        <w:bottom w:val="none" w:sz="0" w:space="0" w:color="auto"/>
        <w:right w:val="none" w:sz="0" w:space="0" w:color="auto"/>
      </w:divBdr>
    </w:div>
    <w:div w:id="492372884">
      <w:bodyDiv w:val="1"/>
      <w:marLeft w:val="0"/>
      <w:marRight w:val="0"/>
      <w:marTop w:val="0"/>
      <w:marBottom w:val="0"/>
      <w:divBdr>
        <w:top w:val="none" w:sz="0" w:space="0" w:color="auto"/>
        <w:left w:val="none" w:sz="0" w:space="0" w:color="auto"/>
        <w:bottom w:val="none" w:sz="0" w:space="0" w:color="auto"/>
        <w:right w:val="none" w:sz="0" w:space="0" w:color="auto"/>
      </w:divBdr>
    </w:div>
    <w:div w:id="638415884">
      <w:bodyDiv w:val="1"/>
      <w:marLeft w:val="0"/>
      <w:marRight w:val="0"/>
      <w:marTop w:val="0"/>
      <w:marBottom w:val="0"/>
      <w:divBdr>
        <w:top w:val="none" w:sz="0" w:space="0" w:color="auto"/>
        <w:left w:val="none" w:sz="0" w:space="0" w:color="auto"/>
        <w:bottom w:val="none" w:sz="0" w:space="0" w:color="auto"/>
        <w:right w:val="none" w:sz="0" w:space="0" w:color="auto"/>
      </w:divBdr>
      <w:divsChild>
        <w:div w:id="2031446374">
          <w:marLeft w:val="0"/>
          <w:marRight w:val="0"/>
          <w:marTop w:val="0"/>
          <w:marBottom w:val="0"/>
          <w:divBdr>
            <w:top w:val="none" w:sz="0" w:space="0" w:color="auto"/>
            <w:left w:val="none" w:sz="0" w:space="0" w:color="auto"/>
            <w:bottom w:val="none" w:sz="0" w:space="0" w:color="auto"/>
            <w:right w:val="none" w:sz="0" w:space="0" w:color="auto"/>
          </w:divBdr>
          <w:divsChild>
            <w:div w:id="1014528889">
              <w:marLeft w:val="0"/>
              <w:marRight w:val="0"/>
              <w:marTop w:val="0"/>
              <w:marBottom w:val="0"/>
              <w:divBdr>
                <w:top w:val="none" w:sz="0" w:space="0" w:color="auto"/>
                <w:left w:val="none" w:sz="0" w:space="0" w:color="auto"/>
                <w:bottom w:val="none" w:sz="0" w:space="0" w:color="auto"/>
                <w:right w:val="none" w:sz="0" w:space="0" w:color="auto"/>
              </w:divBdr>
              <w:divsChild>
                <w:div w:id="152378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737499">
      <w:bodyDiv w:val="1"/>
      <w:marLeft w:val="0"/>
      <w:marRight w:val="0"/>
      <w:marTop w:val="0"/>
      <w:marBottom w:val="0"/>
      <w:divBdr>
        <w:top w:val="none" w:sz="0" w:space="0" w:color="auto"/>
        <w:left w:val="none" w:sz="0" w:space="0" w:color="auto"/>
        <w:bottom w:val="none" w:sz="0" w:space="0" w:color="auto"/>
        <w:right w:val="none" w:sz="0" w:space="0" w:color="auto"/>
      </w:divBdr>
    </w:div>
    <w:div w:id="707028979">
      <w:bodyDiv w:val="1"/>
      <w:marLeft w:val="0"/>
      <w:marRight w:val="0"/>
      <w:marTop w:val="0"/>
      <w:marBottom w:val="0"/>
      <w:divBdr>
        <w:top w:val="none" w:sz="0" w:space="0" w:color="auto"/>
        <w:left w:val="none" w:sz="0" w:space="0" w:color="auto"/>
        <w:bottom w:val="none" w:sz="0" w:space="0" w:color="auto"/>
        <w:right w:val="none" w:sz="0" w:space="0" w:color="auto"/>
      </w:divBdr>
    </w:div>
    <w:div w:id="722756505">
      <w:bodyDiv w:val="1"/>
      <w:marLeft w:val="0"/>
      <w:marRight w:val="0"/>
      <w:marTop w:val="0"/>
      <w:marBottom w:val="0"/>
      <w:divBdr>
        <w:top w:val="none" w:sz="0" w:space="0" w:color="auto"/>
        <w:left w:val="none" w:sz="0" w:space="0" w:color="auto"/>
        <w:bottom w:val="none" w:sz="0" w:space="0" w:color="auto"/>
        <w:right w:val="none" w:sz="0" w:space="0" w:color="auto"/>
      </w:divBdr>
    </w:div>
    <w:div w:id="749622575">
      <w:bodyDiv w:val="1"/>
      <w:marLeft w:val="0"/>
      <w:marRight w:val="0"/>
      <w:marTop w:val="0"/>
      <w:marBottom w:val="0"/>
      <w:divBdr>
        <w:top w:val="none" w:sz="0" w:space="0" w:color="auto"/>
        <w:left w:val="none" w:sz="0" w:space="0" w:color="auto"/>
        <w:bottom w:val="none" w:sz="0" w:space="0" w:color="auto"/>
        <w:right w:val="none" w:sz="0" w:space="0" w:color="auto"/>
      </w:divBdr>
      <w:divsChild>
        <w:div w:id="2125270522">
          <w:marLeft w:val="0"/>
          <w:marRight w:val="0"/>
          <w:marTop w:val="0"/>
          <w:marBottom w:val="0"/>
          <w:divBdr>
            <w:top w:val="none" w:sz="0" w:space="0" w:color="auto"/>
            <w:left w:val="none" w:sz="0" w:space="0" w:color="auto"/>
            <w:bottom w:val="none" w:sz="0" w:space="0" w:color="auto"/>
            <w:right w:val="none" w:sz="0" w:space="0" w:color="auto"/>
          </w:divBdr>
          <w:divsChild>
            <w:div w:id="2093507788">
              <w:marLeft w:val="0"/>
              <w:marRight w:val="0"/>
              <w:marTop w:val="0"/>
              <w:marBottom w:val="0"/>
              <w:divBdr>
                <w:top w:val="none" w:sz="0" w:space="0" w:color="auto"/>
                <w:left w:val="none" w:sz="0" w:space="0" w:color="auto"/>
                <w:bottom w:val="none" w:sz="0" w:space="0" w:color="auto"/>
                <w:right w:val="none" w:sz="0" w:space="0" w:color="auto"/>
              </w:divBdr>
              <w:divsChild>
                <w:div w:id="131033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5981">
      <w:bodyDiv w:val="1"/>
      <w:marLeft w:val="0"/>
      <w:marRight w:val="0"/>
      <w:marTop w:val="0"/>
      <w:marBottom w:val="0"/>
      <w:divBdr>
        <w:top w:val="none" w:sz="0" w:space="0" w:color="auto"/>
        <w:left w:val="none" w:sz="0" w:space="0" w:color="auto"/>
        <w:bottom w:val="none" w:sz="0" w:space="0" w:color="auto"/>
        <w:right w:val="none" w:sz="0" w:space="0" w:color="auto"/>
      </w:divBdr>
    </w:div>
    <w:div w:id="1128088383">
      <w:bodyDiv w:val="1"/>
      <w:marLeft w:val="0"/>
      <w:marRight w:val="0"/>
      <w:marTop w:val="0"/>
      <w:marBottom w:val="0"/>
      <w:divBdr>
        <w:top w:val="none" w:sz="0" w:space="0" w:color="auto"/>
        <w:left w:val="none" w:sz="0" w:space="0" w:color="auto"/>
        <w:bottom w:val="none" w:sz="0" w:space="0" w:color="auto"/>
        <w:right w:val="none" w:sz="0" w:space="0" w:color="auto"/>
      </w:divBdr>
    </w:div>
    <w:div w:id="1158422594">
      <w:bodyDiv w:val="1"/>
      <w:marLeft w:val="0"/>
      <w:marRight w:val="0"/>
      <w:marTop w:val="0"/>
      <w:marBottom w:val="0"/>
      <w:divBdr>
        <w:top w:val="none" w:sz="0" w:space="0" w:color="auto"/>
        <w:left w:val="none" w:sz="0" w:space="0" w:color="auto"/>
        <w:bottom w:val="none" w:sz="0" w:space="0" w:color="auto"/>
        <w:right w:val="none" w:sz="0" w:space="0" w:color="auto"/>
      </w:divBdr>
    </w:div>
    <w:div w:id="1163471374">
      <w:bodyDiv w:val="1"/>
      <w:marLeft w:val="0"/>
      <w:marRight w:val="0"/>
      <w:marTop w:val="0"/>
      <w:marBottom w:val="0"/>
      <w:divBdr>
        <w:top w:val="none" w:sz="0" w:space="0" w:color="auto"/>
        <w:left w:val="none" w:sz="0" w:space="0" w:color="auto"/>
        <w:bottom w:val="none" w:sz="0" w:space="0" w:color="auto"/>
        <w:right w:val="none" w:sz="0" w:space="0" w:color="auto"/>
      </w:divBdr>
    </w:div>
    <w:div w:id="1267152629">
      <w:bodyDiv w:val="1"/>
      <w:marLeft w:val="0"/>
      <w:marRight w:val="0"/>
      <w:marTop w:val="0"/>
      <w:marBottom w:val="0"/>
      <w:divBdr>
        <w:top w:val="none" w:sz="0" w:space="0" w:color="auto"/>
        <w:left w:val="none" w:sz="0" w:space="0" w:color="auto"/>
        <w:bottom w:val="none" w:sz="0" w:space="0" w:color="auto"/>
        <w:right w:val="none" w:sz="0" w:space="0" w:color="auto"/>
      </w:divBdr>
    </w:div>
    <w:div w:id="1280574332">
      <w:bodyDiv w:val="1"/>
      <w:marLeft w:val="0"/>
      <w:marRight w:val="0"/>
      <w:marTop w:val="0"/>
      <w:marBottom w:val="0"/>
      <w:divBdr>
        <w:top w:val="none" w:sz="0" w:space="0" w:color="auto"/>
        <w:left w:val="none" w:sz="0" w:space="0" w:color="auto"/>
        <w:bottom w:val="none" w:sz="0" w:space="0" w:color="auto"/>
        <w:right w:val="none" w:sz="0" w:space="0" w:color="auto"/>
      </w:divBdr>
    </w:div>
    <w:div w:id="1282372776">
      <w:bodyDiv w:val="1"/>
      <w:marLeft w:val="0"/>
      <w:marRight w:val="0"/>
      <w:marTop w:val="0"/>
      <w:marBottom w:val="0"/>
      <w:divBdr>
        <w:top w:val="none" w:sz="0" w:space="0" w:color="auto"/>
        <w:left w:val="none" w:sz="0" w:space="0" w:color="auto"/>
        <w:bottom w:val="none" w:sz="0" w:space="0" w:color="auto"/>
        <w:right w:val="none" w:sz="0" w:space="0" w:color="auto"/>
      </w:divBdr>
    </w:div>
    <w:div w:id="1314212999">
      <w:bodyDiv w:val="1"/>
      <w:marLeft w:val="0"/>
      <w:marRight w:val="0"/>
      <w:marTop w:val="0"/>
      <w:marBottom w:val="0"/>
      <w:divBdr>
        <w:top w:val="none" w:sz="0" w:space="0" w:color="auto"/>
        <w:left w:val="none" w:sz="0" w:space="0" w:color="auto"/>
        <w:bottom w:val="none" w:sz="0" w:space="0" w:color="auto"/>
        <w:right w:val="none" w:sz="0" w:space="0" w:color="auto"/>
      </w:divBdr>
    </w:div>
    <w:div w:id="1411662712">
      <w:bodyDiv w:val="1"/>
      <w:marLeft w:val="0"/>
      <w:marRight w:val="0"/>
      <w:marTop w:val="0"/>
      <w:marBottom w:val="0"/>
      <w:divBdr>
        <w:top w:val="none" w:sz="0" w:space="0" w:color="auto"/>
        <w:left w:val="none" w:sz="0" w:space="0" w:color="auto"/>
        <w:bottom w:val="none" w:sz="0" w:space="0" w:color="auto"/>
        <w:right w:val="none" w:sz="0" w:space="0" w:color="auto"/>
      </w:divBdr>
    </w:div>
    <w:div w:id="1539513602">
      <w:bodyDiv w:val="1"/>
      <w:marLeft w:val="0"/>
      <w:marRight w:val="0"/>
      <w:marTop w:val="0"/>
      <w:marBottom w:val="0"/>
      <w:divBdr>
        <w:top w:val="none" w:sz="0" w:space="0" w:color="auto"/>
        <w:left w:val="none" w:sz="0" w:space="0" w:color="auto"/>
        <w:bottom w:val="none" w:sz="0" w:space="0" w:color="auto"/>
        <w:right w:val="none" w:sz="0" w:space="0" w:color="auto"/>
      </w:divBdr>
      <w:divsChild>
        <w:div w:id="1235042367">
          <w:marLeft w:val="0"/>
          <w:marRight w:val="0"/>
          <w:marTop w:val="0"/>
          <w:marBottom w:val="0"/>
          <w:divBdr>
            <w:top w:val="none" w:sz="0" w:space="0" w:color="auto"/>
            <w:left w:val="none" w:sz="0" w:space="0" w:color="auto"/>
            <w:bottom w:val="none" w:sz="0" w:space="0" w:color="auto"/>
            <w:right w:val="none" w:sz="0" w:space="0" w:color="auto"/>
          </w:divBdr>
          <w:divsChild>
            <w:div w:id="852838497">
              <w:marLeft w:val="0"/>
              <w:marRight w:val="0"/>
              <w:marTop w:val="0"/>
              <w:marBottom w:val="0"/>
              <w:divBdr>
                <w:top w:val="none" w:sz="0" w:space="0" w:color="auto"/>
                <w:left w:val="none" w:sz="0" w:space="0" w:color="auto"/>
                <w:bottom w:val="none" w:sz="0" w:space="0" w:color="auto"/>
                <w:right w:val="none" w:sz="0" w:space="0" w:color="auto"/>
              </w:divBdr>
              <w:divsChild>
                <w:div w:id="93290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408352">
      <w:bodyDiv w:val="1"/>
      <w:marLeft w:val="0"/>
      <w:marRight w:val="0"/>
      <w:marTop w:val="0"/>
      <w:marBottom w:val="0"/>
      <w:divBdr>
        <w:top w:val="none" w:sz="0" w:space="0" w:color="auto"/>
        <w:left w:val="none" w:sz="0" w:space="0" w:color="auto"/>
        <w:bottom w:val="none" w:sz="0" w:space="0" w:color="auto"/>
        <w:right w:val="none" w:sz="0" w:space="0" w:color="auto"/>
      </w:divBdr>
    </w:div>
    <w:div w:id="1705904565">
      <w:bodyDiv w:val="1"/>
      <w:marLeft w:val="0"/>
      <w:marRight w:val="0"/>
      <w:marTop w:val="0"/>
      <w:marBottom w:val="0"/>
      <w:divBdr>
        <w:top w:val="none" w:sz="0" w:space="0" w:color="auto"/>
        <w:left w:val="none" w:sz="0" w:space="0" w:color="auto"/>
        <w:bottom w:val="none" w:sz="0" w:space="0" w:color="auto"/>
        <w:right w:val="none" w:sz="0" w:space="0" w:color="auto"/>
      </w:divBdr>
      <w:divsChild>
        <w:div w:id="354238631">
          <w:marLeft w:val="0"/>
          <w:marRight w:val="0"/>
          <w:marTop w:val="0"/>
          <w:marBottom w:val="0"/>
          <w:divBdr>
            <w:top w:val="none" w:sz="0" w:space="0" w:color="auto"/>
            <w:left w:val="none" w:sz="0" w:space="0" w:color="auto"/>
            <w:bottom w:val="none" w:sz="0" w:space="0" w:color="auto"/>
            <w:right w:val="none" w:sz="0" w:space="0" w:color="auto"/>
          </w:divBdr>
          <w:divsChild>
            <w:div w:id="816263252">
              <w:marLeft w:val="0"/>
              <w:marRight w:val="0"/>
              <w:marTop w:val="0"/>
              <w:marBottom w:val="0"/>
              <w:divBdr>
                <w:top w:val="none" w:sz="0" w:space="0" w:color="auto"/>
                <w:left w:val="none" w:sz="0" w:space="0" w:color="auto"/>
                <w:bottom w:val="none" w:sz="0" w:space="0" w:color="auto"/>
                <w:right w:val="none" w:sz="0" w:space="0" w:color="auto"/>
              </w:divBdr>
              <w:divsChild>
                <w:div w:id="210661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737817">
      <w:bodyDiv w:val="1"/>
      <w:marLeft w:val="0"/>
      <w:marRight w:val="0"/>
      <w:marTop w:val="0"/>
      <w:marBottom w:val="0"/>
      <w:divBdr>
        <w:top w:val="none" w:sz="0" w:space="0" w:color="auto"/>
        <w:left w:val="none" w:sz="0" w:space="0" w:color="auto"/>
        <w:bottom w:val="none" w:sz="0" w:space="0" w:color="auto"/>
        <w:right w:val="none" w:sz="0" w:space="0" w:color="auto"/>
      </w:divBdr>
    </w:div>
    <w:div w:id="1756779579">
      <w:bodyDiv w:val="1"/>
      <w:marLeft w:val="0"/>
      <w:marRight w:val="0"/>
      <w:marTop w:val="0"/>
      <w:marBottom w:val="0"/>
      <w:divBdr>
        <w:top w:val="none" w:sz="0" w:space="0" w:color="auto"/>
        <w:left w:val="none" w:sz="0" w:space="0" w:color="auto"/>
        <w:bottom w:val="none" w:sz="0" w:space="0" w:color="auto"/>
        <w:right w:val="none" w:sz="0" w:space="0" w:color="auto"/>
      </w:divBdr>
      <w:divsChild>
        <w:div w:id="1615214562">
          <w:marLeft w:val="0"/>
          <w:marRight w:val="0"/>
          <w:marTop w:val="0"/>
          <w:marBottom w:val="0"/>
          <w:divBdr>
            <w:top w:val="none" w:sz="0" w:space="0" w:color="auto"/>
            <w:left w:val="none" w:sz="0" w:space="0" w:color="auto"/>
            <w:bottom w:val="none" w:sz="0" w:space="0" w:color="auto"/>
            <w:right w:val="none" w:sz="0" w:space="0" w:color="auto"/>
          </w:divBdr>
          <w:divsChild>
            <w:div w:id="1695375349">
              <w:marLeft w:val="0"/>
              <w:marRight w:val="0"/>
              <w:marTop w:val="0"/>
              <w:marBottom w:val="0"/>
              <w:divBdr>
                <w:top w:val="none" w:sz="0" w:space="0" w:color="auto"/>
                <w:left w:val="none" w:sz="0" w:space="0" w:color="auto"/>
                <w:bottom w:val="none" w:sz="0" w:space="0" w:color="auto"/>
                <w:right w:val="none" w:sz="0" w:space="0" w:color="auto"/>
              </w:divBdr>
              <w:divsChild>
                <w:div w:id="843860983">
                  <w:marLeft w:val="0"/>
                  <w:marRight w:val="0"/>
                  <w:marTop w:val="0"/>
                  <w:marBottom w:val="0"/>
                  <w:divBdr>
                    <w:top w:val="none" w:sz="0" w:space="0" w:color="auto"/>
                    <w:left w:val="none" w:sz="0" w:space="0" w:color="auto"/>
                    <w:bottom w:val="none" w:sz="0" w:space="0" w:color="auto"/>
                    <w:right w:val="none" w:sz="0" w:space="0" w:color="auto"/>
                  </w:divBdr>
                  <w:divsChild>
                    <w:div w:id="98612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745313">
      <w:bodyDiv w:val="1"/>
      <w:marLeft w:val="0"/>
      <w:marRight w:val="0"/>
      <w:marTop w:val="0"/>
      <w:marBottom w:val="0"/>
      <w:divBdr>
        <w:top w:val="none" w:sz="0" w:space="0" w:color="auto"/>
        <w:left w:val="none" w:sz="0" w:space="0" w:color="auto"/>
        <w:bottom w:val="none" w:sz="0" w:space="0" w:color="auto"/>
        <w:right w:val="none" w:sz="0" w:space="0" w:color="auto"/>
      </w:divBdr>
    </w:div>
    <w:div w:id="1888491754">
      <w:bodyDiv w:val="1"/>
      <w:marLeft w:val="0"/>
      <w:marRight w:val="0"/>
      <w:marTop w:val="0"/>
      <w:marBottom w:val="0"/>
      <w:divBdr>
        <w:top w:val="none" w:sz="0" w:space="0" w:color="auto"/>
        <w:left w:val="none" w:sz="0" w:space="0" w:color="auto"/>
        <w:bottom w:val="none" w:sz="0" w:space="0" w:color="auto"/>
        <w:right w:val="none" w:sz="0" w:space="0" w:color="auto"/>
      </w:divBdr>
    </w:div>
    <w:div w:id="1894735692">
      <w:bodyDiv w:val="1"/>
      <w:marLeft w:val="0"/>
      <w:marRight w:val="0"/>
      <w:marTop w:val="0"/>
      <w:marBottom w:val="0"/>
      <w:divBdr>
        <w:top w:val="none" w:sz="0" w:space="0" w:color="auto"/>
        <w:left w:val="none" w:sz="0" w:space="0" w:color="auto"/>
        <w:bottom w:val="none" w:sz="0" w:space="0" w:color="auto"/>
        <w:right w:val="none" w:sz="0" w:space="0" w:color="auto"/>
      </w:divBdr>
    </w:div>
    <w:div w:id="1928807791">
      <w:bodyDiv w:val="1"/>
      <w:marLeft w:val="0"/>
      <w:marRight w:val="0"/>
      <w:marTop w:val="0"/>
      <w:marBottom w:val="0"/>
      <w:divBdr>
        <w:top w:val="none" w:sz="0" w:space="0" w:color="auto"/>
        <w:left w:val="none" w:sz="0" w:space="0" w:color="auto"/>
        <w:bottom w:val="none" w:sz="0" w:space="0" w:color="auto"/>
        <w:right w:val="none" w:sz="0" w:space="0" w:color="auto"/>
      </w:divBdr>
    </w:div>
    <w:div w:id="1943410693">
      <w:bodyDiv w:val="1"/>
      <w:marLeft w:val="0"/>
      <w:marRight w:val="0"/>
      <w:marTop w:val="0"/>
      <w:marBottom w:val="0"/>
      <w:divBdr>
        <w:top w:val="none" w:sz="0" w:space="0" w:color="auto"/>
        <w:left w:val="none" w:sz="0" w:space="0" w:color="auto"/>
        <w:bottom w:val="none" w:sz="0" w:space="0" w:color="auto"/>
        <w:right w:val="none" w:sz="0" w:space="0" w:color="auto"/>
      </w:divBdr>
    </w:div>
    <w:div w:id="2048987339">
      <w:bodyDiv w:val="1"/>
      <w:marLeft w:val="0"/>
      <w:marRight w:val="0"/>
      <w:marTop w:val="0"/>
      <w:marBottom w:val="0"/>
      <w:divBdr>
        <w:top w:val="none" w:sz="0" w:space="0" w:color="auto"/>
        <w:left w:val="none" w:sz="0" w:space="0" w:color="auto"/>
        <w:bottom w:val="none" w:sz="0" w:space="0" w:color="auto"/>
        <w:right w:val="none" w:sz="0" w:space="0" w:color="auto"/>
      </w:divBdr>
    </w:div>
    <w:div w:id="205064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7</Pages>
  <Words>2630</Words>
  <Characters>14996</Characters>
  <Application>Microsoft Office Word</Application>
  <DocSecurity>0</DocSecurity>
  <Lines>124</Lines>
  <Paragraphs>35</Paragraphs>
  <ScaleCrop>false</ScaleCrop>
  <Company/>
  <LinksUpToDate>false</LinksUpToDate>
  <CharactersWithSpaces>17591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Yifan Qi</dc:creator>
  <cp:keywords/>
  <dc:description/>
  <cp:lastModifiedBy>Yifan Qi</cp:lastModifiedBy>
  <cp:revision>40</cp:revision>
  <dcterms:created xsi:type="dcterms:W3CDTF">2024-12-25T05:53:00Z</dcterms:created>
  <dcterms:modified xsi:type="dcterms:W3CDTF">2024-12-25T21:22:00Z</dcterms:modified>
</cp:coreProperties>
</file>